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2284730"/>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28473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免疫荧光-石蜡</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179.9pt;width:594.8pt;z-index:251661312;mso-width-relative:page;mso-height-relative:page;" filled="f" stroked="f" coordsize="21600,21600" o:gfxdata="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C6iLtoAAAAKAQAADwAAAAAAAAABACAAAAAiAAAAZHJzL2Rvd25yZXYueG1sUEsB&#10;AhQAFAAAAAgAh07iQK4w6mJlAgAApAQAAA4AAAAAAAAAAQAgAAAAKQEAAGRycy9lMm9Eb2MueG1s&#10;UEsFBgAAAAAGAAYAWQEAAAAG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免疫荧光-石蜡</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1870710</wp:posOffset>
                </wp:positionH>
                <wp:positionV relativeFrom="paragraph">
                  <wp:posOffset>398145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pt;margin-top:31.35pt;height:72pt;width:303.3pt;z-index:251662336;mso-width-relative:page;mso-height-relative:page;" filled="f" stroked="f" coordsize="21600,21600" o:gfxdata="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8AQbaAAAA&#10;CgEAAA8AAAAAAAAAAQAgAAAAIgAAAGRycy9kb3ducmV2LnhtbFBLAQIUABQAAAAIAIdO4kAtunkk&#10;VAIAAJcEAAAOAAAAAAAAAAEAIAAAACkBAABkcnMvZTJvRG9jLnhtbFBLBQYAAAAABgAGAFkBAADv&#10;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37" w:name="_GoBack"/>
      <w:bookmarkEnd w:id="37"/>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3116"/>
      <w:bookmarkStart w:id="2" w:name="_Toc16925339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spacing w:before="120" w:beforeLines="50" w:after="120" w:afterLines="50"/>
        <w:ind w:firstLine="480" w:firstLineChars="200"/>
        <w:rPr>
          <w:rFonts w:ascii="Times New Roman" w:hAnsi="Times New Roman"/>
          <w:bCs/>
          <w:sz w:val="24"/>
          <w:szCs w:val="24"/>
        </w:rPr>
      </w:pPr>
    </w:p>
    <w:p>
      <w:pPr>
        <w:spacing w:before="120" w:beforeLines="50" w:after="120" w:afterLines="50"/>
        <w:ind w:firstLine="480" w:firstLineChars="200"/>
        <w:jc w:val="right"/>
        <w:rPr>
          <w:rFonts w:ascii="Times New Roman" w:hAnsi="Times New Roman" w:eastAsiaTheme="minorEastAsia"/>
          <w:b/>
          <w:bCs/>
          <w:sz w:val="24"/>
          <w:szCs w:val="24"/>
        </w:rPr>
      </w:pPr>
      <w:r>
        <w:rPr>
          <w:rFonts w:ascii="Times New Roman" w:hAnsi="Times New Roman"/>
          <w:sz w:val="24"/>
          <w:szCs w:val="24"/>
        </w:rPr>
        <w:t>成都奥创生物科技有限公司</w:t>
      </w: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_Toc7121 </w:instrText>
              </w:r>
              <w:r>
                <w:rPr>
                  <w:szCs w:val="24"/>
                </w:rPr>
                <w:fldChar w:fldCharType="separate"/>
              </w:r>
              <w:r>
                <w:rPr>
                  <w:rFonts w:hint="eastAsia" w:ascii="Times New Roman" w:hAnsi="Times New Roman" w:eastAsia="宋体" w:cs="Times New Roman"/>
                  <w:bCs/>
                  <w:szCs w:val="28"/>
                  <w:lang w:val="en-US" w:eastAsia="zh-CN"/>
                </w:rPr>
                <w:t xml:space="preserve">一、 </w:t>
              </w:r>
              <w:r>
                <w:rPr>
                  <w:rFonts w:hint="default" w:ascii="Times New Roman" w:hAnsi="Times New Roman" w:eastAsia="宋体" w:cs="Times New Roman"/>
                  <w:bCs/>
                  <w:szCs w:val="28"/>
                  <w:highlight w:val="none"/>
                  <w:lang w:val="en-US" w:eastAsia="zh-CN"/>
                </w:rPr>
                <w:t>实验简介</w:t>
              </w:r>
              <w:r>
                <w:tab/>
              </w:r>
              <w:r>
                <w:fldChar w:fldCharType="begin"/>
              </w:r>
              <w:r>
                <w:instrText xml:space="preserve"> PAGEREF _Toc7121 \h </w:instrText>
              </w:r>
              <w:r>
                <w:fldChar w:fldCharType="separate"/>
              </w:r>
              <w:r>
                <w:t>6</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_Toc12070 </w:instrText>
              </w:r>
              <w:r>
                <w:rPr>
                  <w:bCs/>
                  <w:szCs w:val="24"/>
                  <w:lang w:val="zh-CN"/>
                </w:rPr>
                <w:fldChar w:fldCharType="separate"/>
              </w:r>
              <w:r>
                <w:rPr>
                  <w:rFonts w:hint="eastAsia" w:ascii="Times New Roman" w:hAnsi="Times New Roman" w:eastAsia="宋体" w:cs="Times New Roman"/>
                  <w:bCs/>
                  <w:szCs w:val="28"/>
                  <w:lang w:val="en-US" w:eastAsia="zh-CN"/>
                </w:rPr>
                <w:t xml:space="preserve">二、 </w:t>
              </w:r>
              <w:r>
                <w:rPr>
                  <w:rFonts w:hint="default" w:ascii="Times New Roman" w:hAnsi="Times New Roman" w:eastAsia="宋体" w:cs="Times New Roman"/>
                  <w:bCs/>
                  <w:szCs w:val="28"/>
                  <w:highlight w:val="none"/>
                  <w:lang w:val="en-US" w:eastAsia="zh-CN"/>
                </w:rPr>
                <w:t>实验仪器、试剂耗材</w:t>
              </w:r>
              <w:r>
                <w:tab/>
              </w:r>
              <w:r>
                <w:fldChar w:fldCharType="begin"/>
              </w:r>
              <w:r>
                <w:instrText xml:space="preserve"> PAGEREF _Toc12070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_Toc14063 </w:instrText>
              </w:r>
              <w:r>
                <w:rPr>
                  <w:bCs/>
                  <w:szCs w:val="24"/>
                  <w:lang w:val="zh-CN"/>
                </w:rPr>
                <w:fldChar w:fldCharType="separate"/>
              </w:r>
              <w:r>
                <w:rPr>
                  <w:rFonts w:hint="eastAsia" w:ascii="Times New Roman" w:hAnsi="Times New Roman" w:eastAsia="宋体" w:cs="Times New Roman"/>
                  <w:bCs/>
                  <w:szCs w:val="28"/>
                  <w:lang w:val="en-US" w:eastAsia="zh-CN"/>
                </w:rPr>
                <w:t xml:space="preserve">三、 </w:t>
              </w:r>
              <w:r>
                <w:rPr>
                  <w:rFonts w:hint="default" w:ascii="Times New Roman" w:hAnsi="Times New Roman" w:eastAsia="宋体" w:cs="Times New Roman"/>
                  <w:bCs/>
                  <w:szCs w:val="28"/>
                  <w:highlight w:val="none"/>
                  <w:lang w:val="en-US" w:eastAsia="zh-CN"/>
                </w:rPr>
                <w:t>实验步骤</w:t>
              </w:r>
              <w:r>
                <w:tab/>
              </w:r>
              <w:r>
                <w:fldChar w:fldCharType="begin"/>
              </w:r>
              <w:r>
                <w:instrText xml:space="preserve"> PAGEREF _Toc14063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_Toc22120 </w:instrText>
              </w:r>
              <w:r>
                <w:rPr>
                  <w:bCs/>
                  <w:szCs w:val="24"/>
                  <w:lang w:val="zh-CN"/>
                </w:rPr>
                <w:fldChar w:fldCharType="separate"/>
              </w:r>
              <w:r>
                <w:rPr>
                  <w:rFonts w:hint="eastAsia" w:ascii="Times New Roman" w:hAnsi="Times New Roman" w:eastAsia="宋体" w:cs="Times New Roman"/>
                  <w:bCs/>
                  <w:szCs w:val="28"/>
                  <w:lang w:val="en-US" w:eastAsia="zh-CN"/>
                </w:rPr>
                <w:t xml:space="preserve">四、 </w:t>
              </w:r>
              <w:r>
                <w:rPr>
                  <w:rFonts w:hint="eastAsia" w:ascii="Times New Roman" w:hAnsi="Times New Roman" w:eastAsia="宋体" w:cs="Times New Roman"/>
                  <w:bCs/>
                  <w:szCs w:val="28"/>
                  <w:highlight w:val="none"/>
                  <w:lang w:val="en-US" w:eastAsia="zh-CN"/>
                </w:rPr>
                <w:t>结果分析</w:t>
              </w:r>
              <w:r>
                <w:tab/>
              </w:r>
              <w:r>
                <w:fldChar w:fldCharType="begin"/>
              </w:r>
              <w:r>
                <w:instrText xml:space="preserve"> PAGEREF _Toc22120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_Toc18712 </w:instrText>
              </w:r>
              <w:r>
                <w:rPr>
                  <w:bCs/>
                  <w:szCs w:val="24"/>
                  <w:lang w:val="zh-CN"/>
                </w:rPr>
                <w:fldChar w:fldCharType="separate"/>
              </w:r>
              <w:r>
                <w:rPr>
                  <w:rFonts w:hint="eastAsia" w:ascii="Times New Roman" w:hAnsi="Times New Roman" w:eastAsia="宋体" w:cs="Times New Roman"/>
                  <w:bCs/>
                  <w:szCs w:val="28"/>
                  <w:lang w:val="en-US" w:eastAsia="zh-CN"/>
                </w:rPr>
                <w:t xml:space="preserve">五、 </w:t>
              </w:r>
              <w:r>
                <w:rPr>
                  <w:rFonts w:hint="default" w:ascii="Times New Roman" w:hAnsi="Times New Roman" w:eastAsia="宋体" w:cs="Times New Roman"/>
                  <w:bCs/>
                  <w:szCs w:val="28"/>
                  <w:highlight w:val="none"/>
                  <w:lang w:val="en-US" w:eastAsia="zh-CN"/>
                </w:rPr>
                <w:t>参考文献</w:t>
              </w:r>
              <w:r>
                <w:tab/>
              </w:r>
              <w:r>
                <w:fldChar w:fldCharType="begin"/>
              </w:r>
              <w:r>
                <w:instrText xml:space="preserve"> PAGEREF _Toc18712 \h </w:instrText>
              </w:r>
              <w:r>
                <w:fldChar w:fldCharType="separate"/>
              </w:r>
              <w:r>
                <w:t>9</w:t>
              </w:r>
              <w:r>
                <w:fldChar w:fldCharType="end"/>
              </w:r>
              <w:r>
                <w:rPr>
                  <w:bCs/>
                  <w:szCs w:val="24"/>
                  <w:lang w:val="zh-CN"/>
                </w:rPr>
                <w:fldChar w:fldCharType="end"/>
              </w:r>
            </w:p>
            <w:p>
              <w:pP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r>
                <w:rPr>
                  <w:bCs/>
                  <w:szCs w:val="24"/>
                  <w:lang w:val="zh-CN"/>
                </w:rPr>
                <w:fldChar w:fldCharType="end"/>
              </w:r>
            </w:p>
          </w:sdtContent>
        </w:sdt>
      </w:sdtContent>
    </w:sdt>
    <w:p>
      <w:pPr>
        <w:rPr>
          <w:sz w:val="24"/>
          <w:szCs w:val="24"/>
        </w:rPr>
      </w:pP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 w:name="_Toc7121"/>
      <w:bookmarkStart w:id="4" w:name="_Toc5015"/>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3"/>
      <w:bookmarkEnd w:id="4"/>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Theme="minorEastAsia" w:hAnsiTheme="minorEastAsia" w:eastAsiaTheme="minorEastAsia" w:cstheme="minorEastAsia"/>
          <w:b w:val="0"/>
          <w:bCs w:val="0"/>
          <w:i w:val="0"/>
          <w:iCs w:val="0"/>
          <w:caps w:val="0"/>
          <w:color w:val="auto"/>
          <w:spacing w:val="0"/>
          <w:sz w:val="24"/>
          <w:szCs w:val="24"/>
          <w:shd w:val="clear" w:fill="FFFFFF"/>
        </w:rPr>
      </w:pPr>
      <w:bookmarkStart w:id="5" w:name="_Toc25476"/>
      <w:bookmarkStart w:id="6" w:name="_Toc3757"/>
      <w:r>
        <w:rPr>
          <w:rFonts w:hint="eastAsia" w:asciiTheme="minorEastAsia" w:hAnsiTheme="minorEastAsia" w:eastAsiaTheme="minorEastAsia" w:cstheme="minorEastAsia"/>
          <w:b w:val="0"/>
          <w:bCs w:val="0"/>
          <w:i w:val="0"/>
          <w:iCs w:val="0"/>
          <w:caps w:val="0"/>
          <w:color w:val="auto"/>
          <w:spacing w:val="0"/>
          <w:sz w:val="24"/>
          <w:szCs w:val="24"/>
          <w:shd w:val="clear" w:fill="FFFFFF"/>
        </w:rPr>
        <w:t>免疫荧光技术（Immunofluorescence technique ）又称</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"https://baike.baidu.com/item/%E8%8D%A7%E5%85%89%E6%8A%97%E4%BD%93%E6%8A%80%E6%9C%AF/3713874?fromModule=lemma_inlink"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荧光抗体技术</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，是标记免疫技术中发展最早的一种。它是在</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"https://baike.baidu.com/item/%E5%85%8D%E7%96%AB%E5%AD%A6/1299517?fromModule=lemma_inlink"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免疫学</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"https://baike.baidu.com/item/%E7%94%9F%E7%89%A9%E5%8C%96%E5%AD%A6/466073?fromModule=lemma_inlink"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生物化学</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和</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"https://baike.baidu.com/item/%E6%98%BE%E5%BE%AE%E9%95%9C%E6%8A%80%E6%9C%AF/2004225?fromModule=lemma_inlink"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显微镜技术</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的基础上建立起来的一项技术。很早以来就有一些学者试图将抗体分子与一些示踪物质结合，利用</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"https://baike.baidu.com/item/%E6%8A%97%E5%8E%9F%E6%8A%97%E4%BD%93%E5%8F%8D%E5%BA%94/3715776?fromModule=lemma_inlink"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抗原抗体反应</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进行</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"https://baike.baidu.com/item/%E7%BB%84%E7%BB%87/5105513?fromModule=lemma_inlink"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组织</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或细胞内</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instrText xml:space="preserve"> HYPERLINK "https://baike.baidu.com/item/%E6%8A%97%E5%8E%9F%E7%89%A9%E8%B4%A8/3271541?fromModule=lemma_inlink" \t "https://baike.baidu.com/item/%E5%85%8D%E7%96%AB%E8%8D%A7%E5%85%89/_blank"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separate"/>
      </w:r>
      <w:r>
        <w:rPr>
          <w:rStyle w:val="20"/>
          <w:rFonts w:hint="eastAsia" w:asciiTheme="minorEastAsia" w:hAnsiTheme="minorEastAsia" w:eastAsiaTheme="minorEastAsia" w:cstheme="minorEastAsia"/>
          <w:b w:val="0"/>
          <w:bCs w:val="0"/>
          <w:i w:val="0"/>
          <w:iCs w:val="0"/>
          <w:caps w:val="0"/>
          <w:color w:val="auto"/>
          <w:spacing w:val="0"/>
          <w:sz w:val="24"/>
          <w:szCs w:val="24"/>
          <w:u w:val="none"/>
          <w:shd w:val="clear" w:fill="FFFFFF"/>
        </w:rPr>
        <w:t>抗原物质</w:t>
      </w:r>
      <w:r>
        <w:rPr>
          <w:rFonts w:hint="eastAsia" w:asciiTheme="minorEastAsia" w:hAnsiTheme="minorEastAsia" w:eastAsiaTheme="minorEastAsia" w:cstheme="minorEastAsia"/>
          <w:b w:val="0"/>
          <w:bCs w:val="0"/>
          <w:i w:val="0"/>
          <w:iCs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val="0"/>
          <w:bCs w:val="0"/>
          <w:i w:val="0"/>
          <w:iCs w:val="0"/>
          <w:caps w:val="0"/>
          <w:color w:val="auto"/>
          <w:spacing w:val="0"/>
          <w:sz w:val="24"/>
          <w:szCs w:val="24"/>
          <w:shd w:val="clear" w:fill="FFFFFF"/>
        </w:rPr>
        <w:t>的定位。</w:t>
      </w:r>
      <w:bookmarkEnd w:id="5"/>
    </w:p>
    <w:p>
      <w:pPr>
        <w:spacing w:line="240" w:lineRule="auto"/>
        <w:ind w:firstLine="480" w:firstLineChars="200"/>
        <w:jc w:val="left"/>
        <w:rPr>
          <w:rFonts w:hint="eastAsia" w:asciiTheme="minorEastAsia" w:hAnsiTheme="minorEastAsia" w:eastAsiaTheme="minorEastAsia" w:cstheme="minorEastAsia"/>
          <w:b w:val="0"/>
          <w:bCs w:val="0"/>
          <w:i w:val="0"/>
          <w:iCs w:val="0"/>
          <w:caps w:val="0"/>
          <w:color w:val="auto"/>
          <w:spacing w:val="0"/>
          <w:sz w:val="24"/>
          <w:szCs w:val="24"/>
          <w:shd w:val="clear" w:fill="FFFFFF"/>
          <w:lang w:val="en-US" w:eastAsia="zh-CN"/>
        </w:rPr>
      </w:pPr>
      <w:r>
        <w:rPr>
          <w:rFonts w:hint="eastAsia" w:ascii="Calibri" w:hAnsi="Calibri" w:eastAsia="宋体" w:cs="Times New Roman"/>
          <w:b w:val="0"/>
          <w:bCs/>
          <w:sz w:val="24"/>
          <w:szCs w:val="24"/>
          <w:lang w:val="en-US" w:eastAsia="zh-CN"/>
        </w:rPr>
        <w:t>可用于研究细胞分子的定位，表达和功能，以及疾病的发生机制和诊断，用于检测细菌，病毒等微生物中的特定蛋白质，从而为疾病的诊断和治疗提供帮助。</w:t>
      </w: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7" w:name="_Toc12070"/>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6"/>
      <w:bookmarkEnd w:id="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lang w:val="en-US" w:eastAsia="zh-CN"/>
        </w:rPr>
      </w:pPr>
      <w:bookmarkStart w:id="8"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8"/>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微波炉</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格兰仕微波炉电器有限公司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P70D20TL-P4</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广州市明美光电技术有限公司</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9" w:name="_Toc1700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9"/>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二甲苯（AR）</w:t>
            </w:r>
          </w:p>
        </w:tc>
        <w:tc>
          <w:tcPr>
            <w:tcW w:w="2842"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EDTA（PH8.0)抗原修复液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BL618A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EDTA(PH9.0)抗原修复液</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BL617A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柠檬酸（PH6.0)抗原修复液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BL604A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胰蛋白酶修复5X</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bioss</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C-0012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DAPI</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BS097-10mg</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自发荧光淬灭剂B液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0"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0"/>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MX35 ULTRA</w:t>
            </w: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1" w:name="_Toc14512"/>
      <w:bookmarkStart w:id="12" w:name="_Toc6790"/>
      <w:bookmarkStart w:id="13" w:name="_Toc14063"/>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11"/>
      <w:bookmarkEnd w:id="12"/>
      <w:bookmarkEnd w:id="13"/>
      <w:bookmarkStart w:id="14" w:name="_Toc17182"/>
      <w:bookmarkStart w:id="15" w:name="_Toc8714"/>
      <w:bookmarkStart w:id="16" w:name="_Toc27275"/>
      <w:bookmarkStart w:id="17" w:name="_Toc9168"/>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en-US" w:eastAsia="zh-CN" w:bidi="ar-SA"/>
        </w:rPr>
      </w:pPr>
      <w:bookmarkStart w:id="18" w:name="_Toc8661"/>
      <w:r>
        <w:rPr>
          <w:rFonts w:hint="eastAsia" w:ascii="Times New Roman" w:hAnsi="Times New Roman" w:eastAsia="宋体" w:cs="Times New Roman"/>
          <w:b w:val="0"/>
          <w:bCs w:val="0"/>
          <w:kern w:val="1"/>
          <w:sz w:val="24"/>
          <w:szCs w:val="24"/>
          <w:highlight w:val="none"/>
          <w:lang w:val="en-US" w:eastAsia="zh-CN" w:bidi="ar-SA"/>
        </w:rPr>
        <w:t>3.1石蜡切片脱蜡至水</w:t>
      </w:r>
      <w:bookmarkEnd w:id="14"/>
      <w:r>
        <w:rPr>
          <w:rFonts w:hint="eastAsia" w:ascii="Times New Roman" w:hAnsi="Times New Roman" w:eastAsia="宋体" w:cs="Times New Roman"/>
          <w:b w:val="0"/>
          <w:bCs w:val="0"/>
          <w:kern w:val="1"/>
          <w:sz w:val="24"/>
          <w:szCs w:val="24"/>
          <w:highlight w:val="none"/>
          <w:lang w:val="en-US" w:eastAsia="zh-CN" w:bidi="ar-SA"/>
        </w:rPr>
        <w:t>，春夏秋：二甲苯I 10min-二甲苯II 10min-二甲苯III 10min-无水乙醇I 5min-无水乙醇II 5min-95%乙醇 5min-85%乙醇 5min-75%乙醇 5min-纯水 5min。冬天：二甲苯每缸时间延长至15min。</w:t>
      </w:r>
      <w:bookmarkEnd w:id="18"/>
    </w:p>
    <w:bookmarkEnd w:id="15"/>
    <w:bookmarkEnd w:id="16"/>
    <w:bookmarkEnd w:id="17"/>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en-US" w:eastAsia="zh-CN" w:bidi="ar-SA"/>
        </w:rPr>
      </w:pPr>
      <w:bookmarkStart w:id="19" w:name="_Toc18583"/>
      <w:r>
        <w:rPr>
          <w:rFonts w:hint="eastAsia" w:ascii="Times New Roman" w:hAnsi="Times New Roman" w:eastAsia="宋体" w:cs="Times New Roman"/>
          <w:b w:val="0"/>
          <w:bCs w:val="0"/>
          <w:kern w:val="1"/>
          <w:sz w:val="24"/>
          <w:szCs w:val="24"/>
          <w:highlight w:val="none"/>
          <w:lang w:val="en-US" w:eastAsia="zh-CN" w:bidi="ar-SA"/>
        </w:rPr>
        <w:t>3.2抗原修复，组织切片置于Tris-EDTA抗原修复缓冲液（PH9）/枸橼酸缓冲液(PH6)的修复盒中于微波炉内进行抗原修复，中火8min至沸，停火8min保温再转中低火7min。自然冷却后将玻片置于PBS中在脱色摇床上晃动洗涤3次，每次5min。</w:t>
      </w:r>
      <w:bookmarkEnd w:id="19"/>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default" w:ascii="Times New Roman" w:hAnsi="Times New Roman" w:eastAsia="宋体" w:cs="Times New Roman"/>
          <w:b w:val="0"/>
          <w:bCs w:val="0"/>
          <w:kern w:val="1"/>
          <w:sz w:val="24"/>
          <w:szCs w:val="24"/>
          <w:highlight w:val="none"/>
          <w:lang w:val="en-US" w:eastAsia="zh-CN" w:bidi="ar-SA"/>
        </w:rPr>
      </w:pPr>
      <w:bookmarkStart w:id="20" w:name="_Toc15458"/>
      <w:r>
        <w:rPr>
          <w:rFonts w:hint="eastAsia" w:ascii="Times New Roman" w:hAnsi="Times New Roman" w:eastAsia="宋体" w:cs="Times New Roman"/>
          <w:b w:val="0"/>
          <w:bCs w:val="0"/>
          <w:kern w:val="1"/>
          <w:sz w:val="24"/>
          <w:szCs w:val="24"/>
          <w:highlight w:val="none"/>
          <w:lang w:val="en-US" w:eastAsia="zh-CN" w:bidi="ar-SA"/>
        </w:rPr>
        <w:t>胰蛋白酶修复：将切片画好组化圈</w:t>
      </w:r>
      <w:r>
        <w:rPr>
          <w:rFonts w:hint="eastAsia" w:ascii="Times New Roman" w:hAnsi="Times New Roman" w:eastAsia="宋体" w:cs="Times New Roman"/>
          <w:b w:val="0"/>
          <w:bCs w:val="0"/>
          <w:kern w:val="1"/>
          <w:sz w:val="24"/>
          <w:szCs w:val="24"/>
          <w:highlight w:val="none"/>
          <w:lang w:val="zh-CN" w:eastAsia="zh-CN" w:bidi="ar-SA"/>
        </w:rPr>
        <w:t>平放于湿盒内（湿盒内加少量水防止抗体蒸发），</w:t>
      </w:r>
      <w:r>
        <w:rPr>
          <w:rFonts w:hint="eastAsia" w:ascii="Times New Roman" w:hAnsi="Times New Roman" w:eastAsia="宋体" w:cs="Times New Roman"/>
          <w:b w:val="0"/>
          <w:bCs w:val="0"/>
          <w:kern w:val="1"/>
          <w:sz w:val="24"/>
          <w:szCs w:val="24"/>
          <w:highlight w:val="none"/>
          <w:lang w:val="en-US" w:eastAsia="zh-CN" w:bidi="ar-SA"/>
        </w:rPr>
        <w:t>加入配制好的胰蛋白酶修复液，放入37℃烘箱，20min，取出后将玻片置于PBS</w:t>
      </w:r>
      <w:r>
        <w:rPr>
          <w:rFonts w:hint="eastAsia" w:ascii="Times New Roman" w:hAnsi="Times New Roman" w:eastAsia="宋体" w:cs="Times New Roman"/>
          <w:b w:val="0"/>
          <w:bCs w:val="0"/>
          <w:kern w:val="1"/>
          <w:sz w:val="24"/>
          <w:szCs w:val="24"/>
          <w:highlight w:val="none"/>
          <w:lang w:val="zh-CN" w:eastAsia="zh-CN" w:bidi="ar-SA"/>
        </w:rPr>
        <w:t>中在脱色摇床上晃动洗涤</w:t>
      </w:r>
      <w:r>
        <w:rPr>
          <w:rFonts w:hint="eastAsia" w:ascii="Times New Roman" w:hAnsi="Times New Roman" w:eastAsia="宋体" w:cs="Times New Roman"/>
          <w:b w:val="0"/>
          <w:bCs w:val="0"/>
          <w:kern w:val="1"/>
          <w:sz w:val="24"/>
          <w:szCs w:val="24"/>
          <w:highlight w:val="none"/>
          <w:lang w:val="en-US" w:eastAsia="zh-CN" w:bidi="ar-SA"/>
        </w:rPr>
        <w:t>3次，每次5min，</w:t>
      </w:r>
      <w:bookmarkEnd w:id="20"/>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en-US" w:eastAsia="zh-CN" w:bidi="ar-SA"/>
        </w:rPr>
      </w:pPr>
      <w:bookmarkStart w:id="21" w:name="_Toc3453"/>
      <w:r>
        <w:rPr>
          <w:rFonts w:hint="eastAsia" w:ascii="Times New Roman" w:hAnsi="Times New Roman" w:eastAsia="宋体" w:cs="Times New Roman"/>
          <w:b w:val="0"/>
          <w:bCs w:val="0"/>
          <w:kern w:val="1"/>
          <w:sz w:val="24"/>
          <w:szCs w:val="24"/>
          <w:highlight w:val="none"/>
          <w:lang w:val="en-US" w:eastAsia="zh-CN" w:bidi="ar-SA"/>
        </w:rPr>
        <w:t>高压PH6修复：将切片放入盛有枸橼酸缓冲液(PH6)修复液的高压锅中，修复液淹没切片，盖上锅盖加热至沸，根据切片组织和表达位置选择修复时间，关火自然冷却后将玻片置于PBS中在脱色摇床上晃动洗涤3次，每次5min。</w:t>
      </w:r>
      <w:bookmarkEnd w:id="21"/>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zh-CN" w:eastAsia="zh-CN" w:bidi="ar-SA"/>
        </w:rPr>
      </w:pPr>
      <w:bookmarkStart w:id="22" w:name="_Toc21139"/>
      <w:bookmarkStart w:id="23" w:name="_Toc9898"/>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.3</w:t>
      </w:r>
      <w:bookmarkEnd w:id="22"/>
      <w:bookmarkStart w:id="24" w:name="_Toc10198"/>
      <w:r>
        <w:rPr>
          <w:rFonts w:hint="eastAsia" w:ascii="Times New Roman" w:hAnsi="Times New Roman" w:eastAsia="宋体" w:cs="Times New Roman"/>
          <w:b w:val="0"/>
          <w:bCs w:val="0"/>
          <w:kern w:val="1"/>
          <w:sz w:val="24"/>
          <w:szCs w:val="24"/>
          <w:highlight w:val="none"/>
          <w:lang w:val="en-US" w:eastAsia="zh-CN" w:bidi="ar-SA"/>
        </w:rPr>
        <w:t>血清封闭，</w:t>
      </w:r>
      <w:r>
        <w:rPr>
          <w:rFonts w:hint="eastAsia" w:ascii="Times New Roman" w:hAnsi="Times New Roman" w:eastAsia="宋体" w:cs="Times New Roman"/>
          <w:b w:val="0"/>
          <w:bCs w:val="0"/>
          <w:kern w:val="1"/>
          <w:sz w:val="24"/>
          <w:szCs w:val="24"/>
          <w:highlight w:val="none"/>
          <w:lang w:val="zh-CN" w:eastAsia="zh-CN" w:bidi="ar-SA"/>
        </w:rPr>
        <w:t>切片稍甩干后用组化笔在组织周围画圈（防止抗体流走），在圈内滴加</w:t>
      </w:r>
      <w:r>
        <w:rPr>
          <w:rFonts w:hint="eastAsia" w:ascii="Times New Roman" w:hAnsi="Times New Roman" w:eastAsia="宋体" w:cs="Times New Roman"/>
          <w:b w:val="0"/>
          <w:bCs w:val="0"/>
          <w:kern w:val="1"/>
          <w:sz w:val="24"/>
          <w:szCs w:val="24"/>
          <w:highlight w:val="none"/>
          <w:lang w:val="en-US" w:eastAsia="zh-CN" w:bidi="ar-SA"/>
        </w:rPr>
        <w:t>5</w:t>
      </w:r>
      <w:r>
        <w:rPr>
          <w:rFonts w:hint="eastAsia" w:ascii="Times New Roman" w:hAnsi="Times New Roman" w:eastAsia="宋体" w:cs="Times New Roman"/>
          <w:b w:val="0"/>
          <w:bCs w:val="0"/>
          <w:kern w:val="1"/>
          <w:sz w:val="24"/>
          <w:szCs w:val="24"/>
          <w:highlight w:val="none"/>
          <w:lang w:val="zh-CN" w:eastAsia="zh-CN" w:bidi="ar-SA"/>
        </w:rPr>
        <w:t>%</w:t>
      </w:r>
      <w:r>
        <w:rPr>
          <w:rFonts w:hint="eastAsia" w:ascii="Times New Roman" w:hAnsi="Times New Roman" w:eastAsia="宋体" w:cs="Times New Roman"/>
          <w:b w:val="0"/>
          <w:bCs w:val="0"/>
          <w:kern w:val="1"/>
          <w:sz w:val="24"/>
          <w:szCs w:val="24"/>
          <w:highlight w:val="none"/>
          <w:lang w:val="en-US" w:eastAsia="zh-CN" w:bidi="ar-SA"/>
        </w:rPr>
        <w:t>山羊</w:t>
      </w:r>
      <w:r>
        <w:rPr>
          <w:rFonts w:hint="eastAsia" w:ascii="Times New Roman" w:hAnsi="Times New Roman" w:eastAsia="宋体" w:cs="Times New Roman"/>
          <w:b w:val="0"/>
          <w:bCs w:val="0"/>
          <w:kern w:val="1"/>
          <w:sz w:val="24"/>
          <w:szCs w:val="24"/>
          <w:highlight w:val="none"/>
          <w:lang w:val="zh-CN" w:eastAsia="zh-CN" w:bidi="ar-SA"/>
        </w:rPr>
        <w:t>血清均匀覆盖组织，室温封闭30min。</w:t>
      </w:r>
      <w:bookmarkEnd w:id="23"/>
    </w:p>
    <w:bookmarkEnd w:id="24"/>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zh-CN" w:eastAsia="zh-CN" w:bidi="ar-SA"/>
        </w:rPr>
      </w:pPr>
      <w:bookmarkStart w:id="25" w:name="_Toc16348"/>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4孵育一抗</w:t>
      </w:r>
      <w:bookmarkStart w:id="26" w:name="_Toc7473"/>
      <w:r>
        <w:rPr>
          <w:rFonts w:hint="eastAsia"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zh-CN" w:eastAsia="zh-CN" w:bidi="ar-SA"/>
        </w:rPr>
        <w:t>轻轻甩掉封闭液，在切片上滴加PBS按一定比例配好的一抗，切片平放于湿盒内4°C孵育过夜。（湿盒内加少量水防止抗体蒸发）</w:t>
      </w:r>
      <w:bookmarkEnd w:id="25"/>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zh-CN" w:eastAsia="zh-CN" w:bidi="ar-SA"/>
        </w:rPr>
      </w:pPr>
      <w:bookmarkStart w:id="27" w:name="_Toc26506"/>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bookmarkEnd w:id="26"/>
      <w:r>
        <w:rPr>
          <w:rFonts w:hint="eastAsia" w:ascii="Times New Roman" w:hAnsi="Times New Roman" w:eastAsia="宋体" w:cs="Times New Roman"/>
          <w:b w:val="0"/>
          <w:bCs w:val="0"/>
          <w:kern w:val="1"/>
          <w:sz w:val="24"/>
          <w:szCs w:val="24"/>
          <w:highlight w:val="none"/>
          <w:lang w:val="en-US" w:eastAsia="zh-CN" w:bidi="ar-SA"/>
        </w:rPr>
        <w:t>5孵育二抗，</w:t>
      </w:r>
      <w:r>
        <w:rPr>
          <w:rFonts w:hint="eastAsia" w:ascii="Times New Roman" w:hAnsi="Times New Roman" w:eastAsia="宋体" w:cs="Times New Roman"/>
          <w:b w:val="0"/>
          <w:bCs w:val="0"/>
          <w:kern w:val="1"/>
          <w:sz w:val="24"/>
          <w:szCs w:val="24"/>
          <w:highlight w:val="none"/>
          <w:lang w:val="zh-CN" w:eastAsia="zh-CN" w:bidi="ar-SA"/>
        </w:rPr>
        <w:t>玻片置于PBS（PH7.4）中在脱色摇床上晃动洗涤3次，每次5min。切片稍甩干后在圈内滴加组化试剂盒内与一抗相应种属的二抗（</w:t>
      </w:r>
      <w:r>
        <w:rPr>
          <w:rFonts w:hint="eastAsia" w:ascii="Times New Roman" w:hAnsi="Times New Roman" w:eastAsia="宋体" w:cs="Times New Roman"/>
          <w:b w:val="0"/>
          <w:bCs w:val="0"/>
          <w:kern w:val="1"/>
          <w:sz w:val="24"/>
          <w:szCs w:val="24"/>
          <w:highlight w:val="none"/>
          <w:lang w:val="en-US" w:eastAsia="zh-CN" w:bidi="ar-SA"/>
        </w:rPr>
        <w:t>CY3/FITC</w:t>
      </w:r>
      <w:r>
        <w:rPr>
          <w:rFonts w:hint="eastAsia" w:ascii="Times New Roman" w:hAnsi="Times New Roman" w:eastAsia="宋体" w:cs="Times New Roman"/>
          <w:b w:val="0"/>
          <w:bCs w:val="0"/>
          <w:kern w:val="1"/>
          <w:sz w:val="24"/>
          <w:szCs w:val="24"/>
          <w:highlight w:val="none"/>
          <w:lang w:val="zh-CN" w:eastAsia="zh-CN" w:bidi="ar-SA"/>
        </w:rPr>
        <w:t>标记）覆盖组织，室温孵育50min，</w:t>
      </w:r>
      <w:r>
        <w:rPr>
          <w:rFonts w:hint="eastAsia" w:ascii="Times New Roman" w:hAnsi="Times New Roman" w:eastAsia="宋体" w:cs="Times New Roman"/>
          <w:b w:val="0"/>
          <w:bCs w:val="0"/>
          <w:kern w:val="1"/>
          <w:sz w:val="24"/>
          <w:szCs w:val="24"/>
          <w:highlight w:val="none"/>
          <w:lang w:val="en-US" w:eastAsia="zh-CN" w:bidi="ar-SA"/>
        </w:rPr>
        <w:t>避光，将</w:t>
      </w:r>
      <w:r>
        <w:rPr>
          <w:rFonts w:hint="eastAsia" w:ascii="Times New Roman" w:hAnsi="Times New Roman" w:eastAsia="宋体" w:cs="Times New Roman"/>
          <w:b w:val="0"/>
          <w:bCs w:val="0"/>
          <w:kern w:val="1"/>
          <w:sz w:val="24"/>
          <w:szCs w:val="24"/>
          <w:highlight w:val="none"/>
          <w:lang w:val="zh-CN" w:eastAsia="zh-CN" w:bidi="ar-SA"/>
        </w:rPr>
        <w:t>玻片置于</w:t>
      </w:r>
      <w:r>
        <w:rPr>
          <w:rFonts w:hint="eastAsia" w:ascii="Times New Roman" w:hAnsi="Times New Roman" w:eastAsia="宋体" w:cs="Times New Roman"/>
          <w:b w:val="0"/>
          <w:bCs w:val="0"/>
          <w:kern w:val="1"/>
          <w:sz w:val="24"/>
          <w:szCs w:val="24"/>
          <w:highlight w:val="none"/>
          <w:lang w:val="en-US" w:eastAsia="zh-CN" w:bidi="ar-SA"/>
        </w:rPr>
        <w:t>盛有</w:t>
      </w:r>
      <w:r>
        <w:rPr>
          <w:rFonts w:hint="eastAsia" w:ascii="Times New Roman" w:hAnsi="Times New Roman" w:eastAsia="宋体" w:cs="Times New Roman"/>
          <w:b w:val="0"/>
          <w:bCs w:val="0"/>
          <w:kern w:val="1"/>
          <w:sz w:val="24"/>
          <w:szCs w:val="24"/>
          <w:highlight w:val="none"/>
          <w:lang w:val="zh-CN" w:eastAsia="zh-CN" w:bidi="ar-SA"/>
        </w:rPr>
        <w:t>PBS（PH7.4）中在脱色摇床上晃动洗涤3次，每次5min。</w:t>
      </w:r>
      <w:bookmarkEnd w:id="27"/>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en-US" w:eastAsia="zh-CN" w:bidi="ar-SA"/>
        </w:rPr>
      </w:pPr>
      <w:bookmarkStart w:id="28" w:name="_Toc29286"/>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6DAPI复染细胞核，玻片置于PBS</w:t>
      </w:r>
      <w:r>
        <w:rPr>
          <w:rFonts w:hint="eastAsia" w:ascii="Times New Roman" w:hAnsi="Times New Roman" w:eastAsia="宋体" w:cs="Times New Roman"/>
          <w:b w:val="0"/>
          <w:bCs w:val="0"/>
          <w:kern w:val="1"/>
          <w:sz w:val="24"/>
          <w:szCs w:val="24"/>
          <w:highlight w:val="none"/>
          <w:lang w:val="zh-CN" w:eastAsia="zh-CN" w:bidi="ar-SA"/>
        </w:rPr>
        <w:t>中在脱色摇床上晃动洗涤</w:t>
      </w:r>
      <w:r>
        <w:rPr>
          <w:rFonts w:hint="eastAsia" w:ascii="Times New Roman" w:hAnsi="Times New Roman" w:eastAsia="宋体" w:cs="Times New Roman"/>
          <w:b w:val="0"/>
          <w:bCs w:val="0"/>
          <w:kern w:val="1"/>
          <w:sz w:val="24"/>
          <w:szCs w:val="24"/>
          <w:highlight w:val="none"/>
          <w:lang w:val="en-US" w:eastAsia="zh-CN" w:bidi="ar-SA"/>
        </w:rPr>
        <w:t>4次，每次5min。切片稍甩干后在圈内滴加DAPI染液，避光室温孵育5min。玻片置于PBS</w:t>
      </w:r>
      <w:r>
        <w:rPr>
          <w:rFonts w:hint="eastAsia" w:ascii="Times New Roman" w:hAnsi="Times New Roman" w:eastAsia="宋体" w:cs="Times New Roman"/>
          <w:b w:val="0"/>
          <w:bCs w:val="0"/>
          <w:kern w:val="1"/>
          <w:sz w:val="24"/>
          <w:szCs w:val="24"/>
          <w:highlight w:val="none"/>
          <w:lang w:val="zh-CN" w:eastAsia="zh-CN" w:bidi="ar-SA"/>
        </w:rPr>
        <w:t>中在脱色摇床上晃动洗涤</w:t>
      </w:r>
      <w:r>
        <w:rPr>
          <w:rFonts w:hint="eastAsia" w:ascii="Times New Roman" w:hAnsi="Times New Roman" w:eastAsia="宋体" w:cs="Times New Roman"/>
          <w:b w:val="0"/>
          <w:bCs w:val="0"/>
          <w:kern w:val="1"/>
          <w:sz w:val="24"/>
          <w:szCs w:val="24"/>
          <w:highlight w:val="none"/>
          <w:lang w:val="en-US" w:eastAsia="zh-CN" w:bidi="ar-SA"/>
        </w:rPr>
        <w:t>4次，每次5min。</w:t>
      </w:r>
      <w:bookmarkEnd w:id="28"/>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default" w:ascii="Times New Roman" w:hAnsi="Times New Roman" w:eastAsia="宋体" w:cs="Times New Roman"/>
          <w:b w:val="0"/>
          <w:bCs w:val="0"/>
          <w:kern w:val="1"/>
          <w:sz w:val="24"/>
          <w:szCs w:val="24"/>
          <w:highlight w:val="none"/>
          <w:lang w:val="en-US" w:eastAsia="zh-CN" w:bidi="ar-SA"/>
        </w:rPr>
      </w:pPr>
      <w:bookmarkStart w:id="29" w:name="_Toc10349"/>
      <w:bookmarkStart w:id="30" w:name="_Toc30989"/>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bookmarkEnd w:id="29"/>
      <w:r>
        <w:rPr>
          <w:rFonts w:hint="eastAsia" w:ascii="Times New Roman" w:hAnsi="Times New Roman" w:eastAsia="宋体" w:cs="Times New Roman"/>
          <w:b w:val="0"/>
          <w:bCs w:val="0"/>
          <w:kern w:val="1"/>
          <w:sz w:val="24"/>
          <w:szCs w:val="24"/>
          <w:highlight w:val="none"/>
          <w:lang w:val="en-US" w:eastAsia="zh-CN" w:bidi="ar-SA"/>
        </w:rPr>
        <w:t>7免疫标记后的自发荧光淬灭；滴加组织自发荧光淬灭剂B液覆盖组织室温避光孵育5 min，流水冲洗3min。</w:t>
      </w:r>
      <w:bookmarkEnd w:id="30"/>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imes New Roman" w:hAnsi="Times New Roman" w:eastAsia="宋体" w:cs="Times New Roman"/>
          <w:b w:val="0"/>
          <w:bCs w:val="0"/>
          <w:kern w:val="1"/>
          <w:sz w:val="24"/>
          <w:szCs w:val="24"/>
          <w:highlight w:val="none"/>
          <w:lang w:val="zh-CN" w:eastAsia="zh-CN" w:bidi="ar-SA"/>
        </w:rPr>
      </w:pPr>
      <w:bookmarkStart w:id="31" w:name="_Toc17436"/>
      <w:bookmarkStart w:id="32" w:name="_Toc10388"/>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bookmarkEnd w:id="31"/>
      <w:r>
        <w:rPr>
          <w:rFonts w:hint="eastAsia" w:ascii="Times New Roman" w:hAnsi="Times New Roman" w:eastAsia="宋体" w:cs="Times New Roman"/>
          <w:b w:val="0"/>
          <w:bCs w:val="0"/>
          <w:kern w:val="1"/>
          <w:sz w:val="24"/>
          <w:szCs w:val="24"/>
          <w:highlight w:val="none"/>
          <w:lang w:val="en-US" w:eastAsia="zh-CN" w:bidi="ar-SA"/>
        </w:rPr>
        <w:t>8封片；</w:t>
      </w:r>
      <w:r>
        <w:rPr>
          <w:rFonts w:hint="eastAsia" w:ascii="Times New Roman" w:hAnsi="Times New Roman" w:eastAsia="宋体" w:cs="Times New Roman"/>
          <w:b w:val="0"/>
          <w:bCs w:val="0"/>
          <w:kern w:val="1"/>
          <w:sz w:val="24"/>
          <w:szCs w:val="24"/>
          <w:highlight w:val="none"/>
          <w:lang w:val="zh-CN" w:eastAsia="zh-CN" w:bidi="ar-SA"/>
        </w:rPr>
        <w:t>切片稍甩干后用抗荧光淬灭封片剂封片</w:t>
      </w:r>
      <w:bookmarkEnd w:id="32"/>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default" w:ascii="Times New Roman" w:hAnsi="Times New Roman" w:eastAsia="宋体" w:cs="Times New Roman"/>
          <w:b w:val="0"/>
          <w:bCs w:val="0"/>
          <w:kern w:val="1"/>
          <w:sz w:val="24"/>
          <w:szCs w:val="24"/>
          <w:highlight w:val="none"/>
          <w:lang w:val="en-US" w:eastAsia="zh-CN" w:bidi="ar-SA"/>
        </w:rPr>
      </w:pPr>
      <w:bookmarkStart w:id="33" w:name="_Toc25600"/>
      <w:r>
        <w:rPr>
          <w:rFonts w:hint="eastAsia" w:ascii="Times New Roman" w:hAnsi="Times New Roman" w:eastAsia="宋体"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9</w:t>
      </w:r>
      <w:r>
        <w:rPr>
          <w:rFonts w:hint="default" w:ascii="Times New Roman" w:hAnsi="Times New Roman" w:eastAsia="宋体" w:cs="Times New Roman"/>
          <w:b w:val="0"/>
          <w:bCs w:val="0"/>
          <w:kern w:val="1"/>
          <w:sz w:val="24"/>
          <w:szCs w:val="24"/>
          <w:highlight w:val="none"/>
          <w:lang w:val="en-US" w:eastAsia="zh-CN" w:bidi="ar-SA"/>
        </w:rPr>
        <w:t>镜检。</w:t>
      </w:r>
      <w:bookmarkEnd w:id="3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outlineLvl w:val="9"/>
        <w:rPr>
          <w:rFonts w:hint="eastAsia" w:ascii="Times New Roman" w:hAnsi="Times New Roman" w:eastAsia="宋体" w:cstheme="minorEastAsia"/>
          <w:b/>
          <w:bCs/>
          <w:caps w:val="0"/>
          <w:kern w:val="1"/>
          <w:sz w:val="21"/>
          <w:szCs w:val="21"/>
          <w:highlight w:val="none"/>
          <w:lang w:val="en-US" w:eastAsia="zh-CN" w:bidi="ar-SA"/>
        </w:rPr>
      </w:pPr>
      <w:r>
        <w:rPr>
          <w:rFonts w:hint="eastAsia" w:ascii="Times New Roman" w:hAnsi="Times New Roman" w:eastAsia="宋体" w:cstheme="minorEastAsia"/>
          <w:b/>
          <w:bCs/>
          <w:caps w:val="0"/>
          <w:kern w:val="1"/>
          <w:sz w:val="21"/>
          <w:szCs w:val="21"/>
          <w:highlight w:val="none"/>
          <w:lang w:val="en-US" w:eastAsia="zh-CN" w:bidi="ar-SA"/>
        </w:rPr>
        <w:t>表1.抗体列表</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名称</w:t>
            </w:r>
          </w:p>
        </w:tc>
        <w:tc>
          <w:tcPr>
            <w:tcW w:w="1907"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稀释比</w:t>
            </w:r>
          </w:p>
        </w:tc>
        <w:tc>
          <w:tcPr>
            <w:tcW w:w="1907"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品牌</w:t>
            </w:r>
          </w:p>
        </w:tc>
        <w:tc>
          <w:tcPr>
            <w:tcW w:w="2496"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1907"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1907"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2496"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2496"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4" w:name="_Toc22120"/>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结果分析</w:t>
      </w:r>
      <w:bookmarkEnd w:id="3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eastAsia="宋体" w:cs="Times New Roman"/>
          <w:b w:val="0"/>
          <w:bCs w:val="0"/>
          <w:kern w:val="1"/>
          <w:sz w:val="24"/>
          <w:szCs w:val="24"/>
          <w:highlight w:val="none"/>
          <w:lang w:val="en-US" w:eastAsia="zh-CN" w:bidi="ar-SA"/>
        </w:rPr>
        <w:t>4.1图像采集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采用数字切片扫描仪/显微镜进行图像采集。每张切片先于低倍下观察全部组织，再分别选取3个视野采集</w:t>
      </w:r>
      <w:r>
        <w:rPr>
          <w:rFonts w:hint="eastAsia" w:ascii="Times New Roman" w:hAnsi="Times New Roman" w:eastAsia="宋体" w:cs="Times New Roman"/>
          <w:b w:val="0"/>
          <w:bCs w:val="0"/>
          <w:kern w:val="1"/>
          <w:sz w:val="24"/>
          <w:szCs w:val="24"/>
          <w:highlight w:val="none"/>
          <w:lang w:val="en-US" w:eastAsia="zh-CN" w:bidi="ar-SA"/>
        </w:rPr>
        <w:t>200/</w:t>
      </w:r>
      <w:r>
        <w:rPr>
          <w:rFonts w:hint="default" w:ascii="Times New Roman" w:hAnsi="Times New Roman" w:eastAsia="宋体" w:cs="Times New Roman"/>
          <w:b w:val="0"/>
          <w:bCs w:val="0"/>
          <w:kern w:val="1"/>
          <w:sz w:val="24"/>
          <w:szCs w:val="24"/>
          <w:highlight w:val="none"/>
          <w:lang w:val="en-US" w:eastAsia="zh-CN" w:bidi="ar-SA"/>
        </w:rPr>
        <w:t>400倍显微图像。</w:t>
      </w:r>
      <w:r>
        <w:rPr>
          <w:rFonts w:hint="eastAsia" w:ascii="Times New Roman" w:hAnsi="Times New Roman" w:eastAsia="宋体" w:cs="Times New Roman"/>
          <w:b w:val="0"/>
          <w:bCs w:val="0"/>
          <w:kern w:val="1"/>
          <w:sz w:val="24"/>
          <w:szCs w:val="24"/>
          <w:highlight w:val="none"/>
          <w:lang w:val="en-US" w:eastAsia="zh-CN" w:bidi="ar-SA"/>
        </w:rPr>
        <w:t>dapi染细胞核为蓝色荧光</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阳性结果根据二抗不同表达为红/绿</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所有采图结果见附件。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rPr>
          <w:rFonts w:hint="eastAsia" w:ascii="Times New Roman" w:hAnsi="Times New Roman" w:cs="Times New Roman"/>
          <w:b/>
          <w:bCs/>
          <w:caps w:val="0"/>
          <w:color w:val="0070C0"/>
          <w:kern w:val="1"/>
          <w:sz w:val="21"/>
          <w:szCs w:val="21"/>
          <w:highlight w:val="none"/>
          <w:lang w:val="en-US" w:eastAsia="zh-CN" w:bidi="ar-SA"/>
        </w:rPr>
      </w:pPr>
      <w:r>
        <w:rPr>
          <w:rFonts w:hint="eastAsia" w:ascii="Times New Roman" w:hAnsi="Times New Roman" w:eastAsia="宋体" w:cs="Times New Roman"/>
          <w:b/>
          <w:bCs/>
          <w:caps w:val="0"/>
          <w:kern w:val="1"/>
          <w:sz w:val="21"/>
          <w:szCs w:val="21"/>
          <w:highlight w:val="none"/>
          <w:lang w:val="en-US" w:eastAsia="zh-CN" w:bidi="ar-SA"/>
        </w:rPr>
        <w:t>表2.染色</w:t>
      </w:r>
      <w:r>
        <w:rPr>
          <w:rFonts w:hint="default" w:ascii="Times New Roman" w:hAnsi="Times New Roman" w:eastAsia="宋体" w:cs="Times New Roman"/>
          <w:b/>
          <w:bCs/>
          <w:caps w:val="0"/>
          <w:kern w:val="1"/>
          <w:sz w:val="21"/>
          <w:szCs w:val="21"/>
          <w:highlight w:val="none"/>
          <w:lang w:val="en-US" w:eastAsia="zh-CN" w:bidi="ar-SA"/>
        </w:rPr>
        <w:t>图例</w:t>
      </w:r>
    </w:p>
    <w:tbl>
      <w:tblPr>
        <w:tblStyle w:val="15"/>
        <w:tblW w:w="9483"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1"/>
        <w:gridCol w:w="3161"/>
        <w:gridCol w:w="316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1-1</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1-2</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w:t>
            </w:r>
            <w:r>
              <w:rPr>
                <w:rFonts w:hint="eastAsia" w:ascii="Times New Roman" w:hAnsi="Times New Roman" w:eastAsia="宋体" w:cs="Times New Roman"/>
                <w:b/>
                <w:bCs/>
                <w:caps w:val="0"/>
                <w:color w:val="FF0000"/>
                <w:sz w:val="21"/>
                <w:szCs w:val="21"/>
                <w:highlight w:val="none"/>
                <w:lang w:val="en-US" w:eastAsia="zh-CN"/>
              </w:rPr>
              <w:t>3</w:t>
            </w: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eastAsia="宋体" w:cs="Times New Roman"/>
          <w:b w:val="0"/>
          <w:bCs w:val="0"/>
          <w:kern w:val="1"/>
          <w:sz w:val="24"/>
          <w:szCs w:val="24"/>
          <w:highlight w:val="none"/>
          <w:lang w:val="en-US" w:eastAsia="zh-CN" w:bidi="ar-SA"/>
        </w:rPr>
        <w:t>4.2光密度测量</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采用Image-ProPlus图像分析系统测定所采集全部图像</w:t>
      </w:r>
      <w:r>
        <w:rPr>
          <w:rFonts w:hint="eastAsia" w:ascii="Times New Roman" w:hAnsi="Times New Roman" w:eastAsia="宋体" w:cs="Times New Roman"/>
          <w:b w:val="0"/>
          <w:bCs w:val="0"/>
          <w:kern w:val="1"/>
          <w:sz w:val="24"/>
          <w:szCs w:val="24"/>
          <w:highlight w:val="none"/>
          <w:lang w:val="en-US" w:eastAsia="zh-CN" w:bidi="ar-SA"/>
        </w:rPr>
        <w:t>积分</w:t>
      </w:r>
      <w:r>
        <w:rPr>
          <w:rFonts w:hint="default" w:ascii="Times New Roman" w:hAnsi="Times New Roman" w:eastAsia="宋体" w:cs="Times New Roman"/>
          <w:b w:val="0"/>
          <w:bCs w:val="0"/>
          <w:kern w:val="1"/>
          <w:sz w:val="24"/>
          <w:szCs w:val="24"/>
          <w:highlight w:val="none"/>
          <w:lang w:val="en-US" w:eastAsia="zh-CN" w:bidi="ar-SA"/>
        </w:rPr>
        <w:t>光密度（IOD）表示</w:t>
      </w:r>
      <w:r>
        <w:rPr>
          <w:rFonts w:hint="eastAsia" w:ascii="Times New Roman" w:hAnsi="Times New Roman" w:eastAsia="宋体" w:cs="Times New Roman"/>
          <w:b w:val="0"/>
          <w:bCs w:val="0"/>
          <w:kern w:val="1"/>
          <w:sz w:val="24"/>
          <w:szCs w:val="24"/>
          <w:highlight w:val="none"/>
          <w:lang w:val="en-US" w:eastAsia="zh-CN" w:bidi="ar-SA"/>
        </w:rPr>
        <w:t>；</w:t>
      </w:r>
      <w:r>
        <w:rPr>
          <w:rFonts w:hint="default" w:ascii="Times New Roman" w:hAnsi="Times New Roman" w:eastAsia="宋体"/>
          <w:b w:val="0"/>
          <w:caps w:val="0"/>
          <w:sz w:val="24"/>
          <w:szCs w:val="24"/>
          <w:lang w:val="en-US" w:eastAsia="zh-CN"/>
        </w:rPr>
        <w:t>每例样本的</w:t>
      </w:r>
      <w:r>
        <w:rPr>
          <w:rFonts w:hint="eastAsia" w:ascii="Times New Roman" w:hAnsi="Times New Roman"/>
          <w:b w:val="0"/>
          <w:caps w:val="0"/>
          <w:sz w:val="24"/>
          <w:szCs w:val="24"/>
          <w:lang w:val="en-US" w:eastAsia="zh-CN"/>
        </w:rPr>
        <w:t>积分</w:t>
      </w:r>
      <w:r>
        <w:rPr>
          <w:rFonts w:hint="default" w:ascii="Times New Roman" w:hAnsi="Times New Roman" w:eastAsia="宋体"/>
          <w:b w:val="0"/>
          <w:caps w:val="0"/>
          <w:sz w:val="24"/>
          <w:szCs w:val="24"/>
          <w:lang w:val="en-US" w:eastAsia="zh-CN"/>
        </w:rPr>
        <w:t>光密度</w:t>
      </w:r>
      <w:r>
        <w:rPr>
          <w:rFonts w:hint="eastAsia" w:ascii="Times New Roman" w:hAnsi="Times New Roman" w:eastAsia="宋体"/>
          <w:b w:val="0"/>
          <w:caps w:val="0"/>
          <w:sz w:val="24"/>
          <w:szCs w:val="24"/>
          <w:lang w:val="en-US" w:eastAsia="zh-CN"/>
        </w:rPr>
        <w:t>为</w:t>
      </w:r>
      <w:r>
        <w:rPr>
          <w:rFonts w:hint="default" w:ascii="Times New Roman" w:hAnsi="Times New Roman" w:eastAsia="宋体"/>
          <w:b w:val="0"/>
          <w:caps w:val="0"/>
          <w:sz w:val="24"/>
          <w:szCs w:val="24"/>
          <w:lang w:val="en-US" w:eastAsia="zh-CN"/>
        </w:rPr>
        <w:t>3张图像的</w:t>
      </w:r>
      <w:r>
        <w:rPr>
          <w:rFonts w:hint="eastAsia" w:ascii="Times New Roman" w:hAnsi="Times New Roman" w:eastAsia="宋体"/>
          <w:b w:val="0"/>
          <w:caps w:val="0"/>
          <w:sz w:val="24"/>
          <w:szCs w:val="24"/>
          <w:lang w:val="en-US" w:eastAsia="zh-CN"/>
        </w:rPr>
        <w:t>平均值</w:t>
      </w:r>
      <w:r>
        <w:rPr>
          <w:rFonts w:hint="eastAsia" w:ascii="Times New Roman" w:hAnsi="Times New Roman" w:eastAsia="宋体" w:cs="Times New Roman"/>
          <w:b w:val="0"/>
          <w:bCs w:val="0"/>
          <w:kern w:val="1"/>
          <w:sz w:val="24"/>
          <w:szCs w:val="24"/>
          <w:highlight w:val="none"/>
          <w:lang w:val="en-US" w:eastAsia="zh-CN" w:bidi="ar-SA"/>
        </w:rPr>
        <w:t>。原始结果见附件。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cstheme="minorEastAsia"/>
          <w:b/>
          <w:color w:val="000000" w:themeColor="text1"/>
          <w:lang w:eastAsia="zh-CN"/>
          <w14:textFill>
            <w14:solidFill>
              <w14:schemeClr w14:val="tx1"/>
            </w14:solidFill>
          </w14:textFill>
        </w:rPr>
        <w:t>表</w:t>
      </w:r>
      <w:r>
        <w:rPr>
          <w:rFonts w:hint="eastAsia" w:ascii="Times New Roman" w:hAnsi="Times New Roman" w:eastAsia="宋体" w:cstheme="minorEastAsia"/>
          <w:b/>
          <w:color w:val="000000" w:themeColor="text1"/>
          <w:lang w:val="en-US" w:eastAsia="zh-CN"/>
          <w14:textFill>
            <w14:solidFill>
              <w14:schemeClr w14:val="tx1"/>
            </w14:solidFill>
          </w14:textFill>
        </w:rPr>
        <w:t>3.</w:t>
      </w:r>
      <w:r>
        <w:rPr>
          <w:rFonts w:hint="eastAsia" w:ascii="Times New Roman" w:hAnsi="Times New Roman" w:cstheme="minorEastAsia"/>
          <w:b/>
          <w:color w:val="000000" w:themeColor="text1"/>
          <w:lang w:val="en-US" w:eastAsia="zh-CN"/>
          <w14:textFill>
            <w14:solidFill>
              <w14:schemeClr w14:val="tx1"/>
            </w14:solidFill>
          </w14:textFill>
        </w:rPr>
        <w:t>积分</w:t>
      </w:r>
      <w:r>
        <w:rPr>
          <w:rFonts w:hint="eastAsia" w:ascii="Times New Roman" w:hAnsi="Times New Roman" w:eastAsia="宋体" w:cstheme="minorEastAsia"/>
          <w:b/>
          <w:color w:val="000000" w:themeColor="text1"/>
          <w:lang w:val="en-US" w:eastAsia="zh-CN"/>
          <w14:textFill>
            <w14:solidFill>
              <w14:schemeClr w14:val="tx1"/>
            </w14:solidFill>
          </w14:textFill>
        </w:rPr>
        <w:t>光密度</w:t>
      </w:r>
      <w:r>
        <w:rPr>
          <w:rFonts w:hint="eastAsia" w:ascii="Times New Roman" w:hAnsi="Times New Roman" w:eastAsia="宋体" w:cstheme="minorEastAsia"/>
          <w:b/>
          <w:color w:val="000000" w:themeColor="text1"/>
          <w:lang w:eastAsia="zh-CN"/>
          <w14:textFill>
            <w14:solidFill>
              <w14:schemeClr w14:val="tx1"/>
            </w14:solidFill>
          </w14:textFill>
        </w:rPr>
        <w:t>结果</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5" w:name="_Toc28351"/>
      <w:bookmarkStart w:id="36" w:name="_Toc1871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参考文献</w:t>
      </w:r>
      <w:bookmarkEnd w:id="35"/>
      <w:bookmarkEnd w:id="36"/>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210" w:leftChars="100" w:firstLine="240" w:firstLineChars="100"/>
        <w:jc w:val="left"/>
        <w:textAlignment w:val="auto"/>
        <w:rPr>
          <w:rFonts w:hint="default" w:ascii="Times New Roman" w:hAnsi="Times New Roman" w:eastAsia="宋体" w:cs="Times New Roman"/>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1</w:t>
      </w:r>
      <w:r>
        <w:rPr>
          <w:rFonts w:hint="default" w:ascii="Times New Roman" w:hAnsi="Times New Roman" w:eastAsia="宋体" w:cs="Times New Roman"/>
          <w:b w:val="0"/>
          <w:caps w:val="0"/>
          <w:color w:val="auto"/>
          <w:sz w:val="24"/>
          <w:szCs w:val="24"/>
          <w:lang w:val="en-US" w:eastAsia="zh-CN"/>
        </w:rPr>
        <w:t>.Yasushi</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Horai;Tetsuhiro</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Kakimoto;Kana</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Takemoto;Masaharu</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Tanaka</w:t>
      </w:r>
      <w:r>
        <w:rPr>
          <w:rFonts w:hint="eastAsia" w:ascii="Times New Roman" w:hAnsi="Times New Roman" w:eastAsia="宋体" w:cs="Times New Roman"/>
          <w:b w:val="0"/>
          <w:caps w:val="0"/>
          <w:color w:val="auto"/>
          <w:sz w:val="24"/>
          <w:szCs w:val="24"/>
          <w:lang w:val="en-US" w:eastAsia="zh-CN"/>
        </w:rPr>
        <w:t>.</w:t>
      </w:r>
      <w:r>
        <w:rPr>
          <w:rFonts w:hint="default" w:ascii="Times New Roman" w:hAnsi="Times New Roman" w:eastAsia="宋体" w:cs="Times New Roman"/>
          <w:b w:val="0"/>
          <w:caps w:val="0"/>
          <w:color w:val="auto"/>
          <w:sz w:val="24"/>
          <w:szCs w:val="24"/>
          <w:lang w:val="en-US" w:eastAsia="zh-CN"/>
        </w:rPr>
        <w:t>Quantitative analysis of histopathological findings using image processing software.</w:t>
      </w:r>
      <w:r>
        <w:rPr>
          <w:rFonts w:hint="eastAsia" w:ascii="Times New Roman" w:hAnsi="Times New Roman" w:eastAsia="宋体" w:cs="Times New Roman"/>
          <w:b w:val="0"/>
          <w:i w:val="0"/>
          <w:iCs w:val="0"/>
          <w:caps w:val="0"/>
          <w:color w:val="auto"/>
          <w:spacing w:val="0"/>
          <w:sz w:val="24"/>
          <w:szCs w:val="24"/>
          <w:shd w:val="clear" w:fill="FFFFFF"/>
          <w:lang w:val="en-US" w:eastAsia="zh-CN"/>
        </w:rPr>
        <w:t>2017</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2.</w:t>
      </w:r>
      <w:r>
        <w:rPr>
          <w:rFonts w:hint="default" w:ascii="Times New Roman" w:hAnsi="Times New Roman" w:eastAsia="宋体"/>
          <w:b w:val="0"/>
          <w:caps w:val="0"/>
          <w:color w:val="auto"/>
          <w:sz w:val="24"/>
          <w:szCs w:val="24"/>
          <w:lang w:val="en-US" w:eastAsia="zh-CN"/>
        </w:rPr>
        <w:t>崔巍.王硕仁.朱陵群.平均光密度值分析法和阳性染色面积分析法在免疫荧光图像分析中的对比研究.2008.09</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b w:val="0"/>
          <w:caps w:val="0"/>
          <w:color w:val="auto"/>
          <w:sz w:val="24"/>
          <w:szCs w:val="24"/>
          <w:lang w:val="en-US" w:eastAsia="zh-CN"/>
        </w:rPr>
        <w:t>3.李枫.图像分析中光密度参数物理意义的正确理解和使用.</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right="500" w:rightChars="238" w:firstLine="482"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455073"/>
    <w:rsid w:val="03D2448F"/>
    <w:rsid w:val="0450700B"/>
    <w:rsid w:val="04517A58"/>
    <w:rsid w:val="046A3BA0"/>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1A7620"/>
    <w:rsid w:val="0A5D72DC"/>
    <w:rsid w:val="0AAE6186"/>
    <w:rsid w:val="0AB945A1"/>
    <w:rsid w:val="0B8C31F9"/>
    <w:rsid w:val="0BF202F5"/>
    <w:rsid w:val="0D1F336B"/>
    <w:rsid w:val="0E504C09"/>
    <w:rsid w:val="0E9D6BBB"/>
    <w:rsid w:val="0ECE0394"/>
    <w:rsid w:val="0EE24651"/>
    <w:rsid w:val="0EFA5E48"/>
    <w:rsid w:val="0F326BA0"/>
    <w:rsid w:val="0F703A64"/>
    <w:rsid w:val="0F707EAE"/>
    <w:rsid w:val="0F841987"/>
    <w:rsid w:val="108F368D"/>
    <w:rsid w:val="109951E3"/>
    <w:rsid w:val="120C61ED"/>
    <w:rsid w:val="122D3058"/>
    <w:rsid w:val="125A43DA"/>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A255DC"/>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1032DE"/>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9C2677"/>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8F5315"/>
    <w:rsid w:val="3AFD069C"/>
    <w:rsid w:val="3B7F4860"/>
    <w:rsid w:val="3B7FEF2B"/>
    <w:rsid w:val="3B843992"/>
    <w:rsid w:val="3BA879C6"/>
    <w:rsid w:val="3BB0325D"/>
    <w:rsid w:val="3BB84F93"/>
    <w:rsid w:val="3C015C45"/>
    <w:rsid w:val="3C335C3C"/>
    <w:rsid w:val="3DE53B38"/>
    <w:rsid w:val="3E23681F"/>
    <w:rsid w:val="3FFA0F4B"/>
    <w:rsid w:val="40257BBA"/>
    <w:rsid w:val="40387CC5"/>
    <w:rsid w:val="41A75102"/>
    <w:rsid w:val="41EA6017"/>
    <w:rsid w:val="42107BEE"/>
    <w:rsid w:val="421C381E"/>
    <w:rsid w:val="422D0069"/>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3034C0"/>
    <w:rsid w:val="4B7655EE"/>
    <w:rsid w:val="4C0814C4"/>
    <w:rsid w:val="4C9F0FD7"/>
    <w:rsid w:val="4D7549E6"/>
    <w:rsid w:val="4DC42B98"/>
    <w:rsid w:val="4DC64BB7"/>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47147E"/>
    <w:rsid w:val="557C1FAA"/>
    <w:rsid w:val="557F01C6"/>
    <w:rsid w:val="55E5675C"/>
    <w:rsid w:val="567C2762"/>
    <w:rsid w:val="56AC2486"/>
    <w:rsid w:val="56B57E6A"/>
    <w:rsid w:val="57A5105B"/>
    <w:rsid w:val="57B503D0"/>
    <w:rsid w:val="58046889"/>
    <w:rsid w:val="586E37F0"/>
    <w:rsid w:val="587A136B"/>
    <w:rsid w:val="595F0772"/>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482D61"/>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2D705D"/>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0D709FD"/>
    <w:rsid w:val="71037512"/>
    <w:rsid w:val="710D5957"/>
    <w:rsid w:val="711F6EB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8F77998"/>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D450A"/>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2474</Words>
  <Characters>3197</Characters>
  <Lines>29</Lines>
  <Paragraphs>8</Paragraphs>
  <TotalTime>0</TotalTime>
  <ScaleCrop>false</ScaleCrop>
  <LinksUpToDate>false</LinksUpToDate>
  <CharactersWithSpaces>3260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2024-07-10T09:12:28Z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E0BB6B1D0D074BFC8C2806050A47F27C_13</vt:lpwstr>
  </property>
</Properties>
</file>