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细胞免疫荧光染色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1312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细胞免疫荧光染色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2336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4384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34" w:name="_GoBack"/>
      <w:bookmarkEnd w:id="34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3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3116"/>
      <w:bookmarkStart w:id="1" w:name="_Toc169612771"/>
      <w:bookmarkStart w:id="2" w:name="_Toc169253391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jc w:val="right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textAlignment w:val="auto"/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highlight w:val="none"/>
          <w:lang w:eastAsia="zh-CN"/>
        </w:rPr>
      </w:pPr>
      <w:bookmarkStart w:id="3" w:name="_Toc26157"/>
      <w:bookmarkStart w:id="4" w:name="_Toc2286"/>
      <w:r>
        <w:rPr>
          <w:rFonts w:hint="default" w:ascii="Times New Roman" w:hAnsi="Times New Roman" w:eastAsia="宋体" w:cs="Times New Roman"/>
          <w:b/>
          <w:bCs/>
          <w:color w:val="000000"/>
          <w:sz w:val="28"/>
          <w:highlight w:val="none"/>
          <w:lang w:eastAsia="zh-CN"/>
        </w:rPr>
        <w:t>注意事项</w:t>
      </w:r>
      <w:bookmarkEnd w:id="3"/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3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outlineLvl w:val="9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bookmarkStart w:id="5" w:name="_Toc15420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一、本报告未加盖本公司公章无效。</w:t>
      </w:r>
      <w:bookmarkEnd w:id="5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二、报告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val="en-US" w:eastAsia="zh-CN"/>
        </w:rPr>
        <w:t>齐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缝章不完整无效。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三、报告无批准人签字无效。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四、本报告涂改</w:t>
      </w:r>
      <w:r>
        <w:rPr>
          <w:rFonts w:hint="default" w:ascii="Times New Roman" w:hAnsi="Times New Roman" w:eastAsia="宋体" w:cs="Times New Roman"/>
          <w:bCs/>
          <w:sz w:val="24"/>
          <w:szCs w:val="24"/>
          <w:highlight w:val="none"/>
          <w:lang w:eastAsia="zh-CN"/>
        </w:rPr>
        <w:t>或缺页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五、未经本公司书面允许，不得部分复制本报告（全文复制除外）。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六、若对检验报告有异议，应于收到报告之日起十五日内向本公司提出，逾期不予受理。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七、本公司只对本次检测样品负责，其检验检测数据、结果仅证明样品所检验检测项目的符合性。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八、不得使用本报告进行不当宣传。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九、本报告书一式两份，一份本公司存档，一份交委托单位。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2" w:firstLineChars="175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检验机构：成都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val="en-US" w:eastAsia="zh-CN"/>
        </w:rPr>
        <w:t>奥创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生物科技有限公司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keepNext/>
        <w:keepLines/>
        <w:pageBreakBefore/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sdt>
          <w:sdtPr>
            <w:rPr>
              <w:rFonts w:ascii="Calibri" w:hAnsi="Calibri" w:eastAsia="宋体" w:cs="Times New Roman"/>
              <w:color w:val="auto"/>
              <w:kern w:val="1"/>
              <w:sz w:val="24"/>
              <w:szCs w:val="24"/>
              <w:lang w:val="zh-CN"/>
            </w:rPr>
            <w:id w:val="-895509097"/>
            <w:docPartObj>
              <w:docPartGallery w:val="Table of Contents"/>
              <w:docPartUnique/>
            </w:docPartObj>
          </w:sdtPr>
          <w:sdtEndPr>
            <w:rPr>
              <w:rFonts w:ascii="Calibri" w:hAnsi="Calibri" w:eastAsia="宋体" w:cs="Times New Roman"/>
              <w:b/>
              <w:bCs/>
              <w:color w:val="auto"/>
              <w:kern w:val="1"/>
              <w:sz w:val="24"/>
              <w:szCs w:val="24"/>
              <w:lang w:val="zh-CN"/>
            </w:rPr>
          </w:sdtEndPr>
          <w:sdtContent>
            <w:p>
              <w:pPr>
                <w:pStyle w:val="61"/>
                <w:jc w:val="center"/>
                <w:rPr>
                  <w:color w:val="auto"/>
                  <w:sz w:val="24"/>
                  <w:szCs w:val="24"/>
                </w:rPr>
              </w:pPr>
              <w:r>
                <w:rPr>
                  <w:color w:val="auto"/>
                  <w:sz w:val="24"/>
                  <w:szCs w:val="24"/>
                  <w:lang w:val="zh-CN"/>
                </w:rPr>
                <w:t>目录</w:t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sz w:val="24"/>
                  <w:szCs w:val="24"/>
                </w:rPr>
                <w:fldChar w:fldCharType="begin"/>
              </w:r>
              <w:r>
                <w:rPr>
                  <w:sz w:val="24"/>
                  <w:szCs w:val="24"/>
                </w:rPr>
                <w:instrText xml:space="preserve"> TOC \o "1-3" \h \z \u </w:instrText>
              </w:r>
              <w:r>
                <w:rPr>
                  <w:sz w:val="24"/>
                  <w:szCs w:val="24"/>
                </w:rPr>
                <w:fldChar w:fldCharType="separate"/>
              </w: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_Toc19470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 w:ascii="Times New Roman" w:hAnsi="Times New Roman" w:cs="Times New Roman" w:eastAsiaTheme="minorEastAsia"/>
                  <w:szCs w:val="28"/>
                  <w:lang w:val="en-US" w:eastAsia="zh-CN"/>
                </w:rPr>
                <w:t>一、 样本信息</w:t>
              </w:r>
              <w:r>
                <w:tab/>
              </w:r>
              <w:r>
                <w:fldChar w:fldCharType="begin"/>
              </w:r>
              <w:r>
                <w:instrText xml:space="preserve"> PAGEREF _Toc19470 \h </w:instrText>
              </w:r>
              <w:r>
                <w:fldChar w:fldCharType="separate"/>
              </w:r>
              <w:r>
                <w:t>7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_Toc21428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>二、 实验简介</w:t>
              </w:r>
              <w:r>
                <w:tab/>
              </w:r>
              <w:r>
                <w:fldChar w:fldCharType="begin"/>
              </w:r>
              <w:r>
                <w:instrText xml:space="preserve"> PAGEREF _Toc21428 \h </w:instrText>
              </w:r>
              <w:r>
                <w:fldChar w:fldCharType="separate"/>
              </w:r>
              <w:r>
                <w:t>7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_Toc32354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>三、 实验仪器、试剂耗材</w:t>
              </w:r>
              <w:r>
                <w:tab/>
              </w:r>
              <w:r>
                <w:fldChar w:fldCharType="begin"/>
              </w:r>
              <w:r>
                <w:instrText xml:space="preserve"> PAGEREF _Toc32354 \h </w:instrText>
              </w:r>
              <w:r>
                <w:fldChar w:fldCharType="separate"/>
              </w:r>
              <w:r>
                <w:t>7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_Toc12300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>四、 实验步骤</w:t>
              </w:r>
              <w:r>
                <w:tab/>
              </w:r>
              <w:r>
                <w:fldChar w:fldCharType="begin"/>
              </w:r>
              <w:r>
                <w:instrText xml:space="preserve"> PAGEREF _Toc12300 \h </w:instrText>
              </w:r>
              <w:r>
                <w:fldChar w:fldCharType="separate"/>
              </w:r>
              <w:r>
                <w:t>8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_Toc19002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 w:ascii="Times New Roman" w:hAnsi="Times New Roman" w:cs="Times New Roman" w:eastAsiaTheme="minorEastAsia"/>
                  <w:szCs w:val="28"/>
                  <w:lang w:val="en-US" w:eastAsia="zh-CN"/>
                </w:rPr>
                <w:t>五、 染色结果</w:t>
              </w:r>
              <w:r>
                <w:tab/>
              </w:r>
              <w:r>
                <w:fldChar w:fldCharType="begin"/>
              </w:r>
              <w:r>
                <w:instrText xml:space="preserve"> PAGEREF _Toc19002 \h </w:instrText>
              </w:r>
              <w:r>
                <w:fldChar w:fldCharType="separate"/>
              </w:r>
              <w:r>
                <w:t>9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rPr>
                  <w:sz w:val="24"/>
                  <w:szCs w:val="24"/>
                </w:rPr>
              </w:pPr>
              <w:r>
                <w:rPr>
                  <w:bCs/>
                  <w:szCs w:val="24"/>
                  <w:lang w:val="zh-CN"/>
                </w:rPr>
                <w:fldChar w:fldCharType="end"/>
              </w:r>
            </w:p>
          </w:sdtContent>
        </w:sdt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eastAsia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6" w:name="_Toc19470"/>
      <w:bookmarkStart w:id="7" w:name="_Toc40709121"/>
      <w:bookmarkStart w:id="8" w:name="_Toc149670078"/>
      <w:bookmarkStart w:id="9" w:name="_Toc85906420"/>
      <w:bookmarkStart w:id="10" w:name="_Toc67061766"/>
      <w:bookmarkStart w:id="11" w:name="_Toc67067673"/>
      <w:bookmarkStart w:id="12" w:name="_Toc54712428"/>
      <w:bookmarkStart w:id="13" w:name="_Toc509220866"/>
      <w:r>
        <w:rPr>
          <w:rFonts w:hint="eastAsia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样本信息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4" w:name="_Toc21428"/>
      <w:bookmarkStart w:id="15" w:name="_Toc5015"/>
      <w:r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实验简介</w:t>
      </w:r>
      <w:bookmarkEnd w:id="14"/>
      <w:bookmarkEnd w:id="15"/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bookmarkStart w:id="16" w:name="_Toc3757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免疫荧光技术（Immunofluorescence technique ）又称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"https://baike.baidu.com/item/%E8%8D%A7%E5%85%89%E6%8A%97%E4%BD%93%E6%8A%80%E6%9C%AF/3713874?fromModule=lemma_inlink"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荧光抗体技术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，是标记免疫技术中发展最早的一种。它是在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"https://baike.baidu.com/item/%E5%85%8D%E7%96%AB%E5%AD%A6/1299517?fromModule=lemma_inlink"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免疫学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、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"https://baike.baidu.com/item/%E7%94%9F%E7%89%A9%E5%8C%96%E5%AD%A6/466073?fromModule=lemma_inlink"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生物化学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和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"https://baike.baidu.com/item/%E6%98%BE%E5%BE%AE%E9%95%9C%E6%8A%80%E6%9C%AF/2004225?fromModule=lemma_inlink"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显微镜技术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的基础上建立起来的一项技术。很早以来就有一些学者试图将抗体分子与一些示踪物质结合，利用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"https://baike.baidu.com/item/%E6%8A%97%E5%8E%9F%E6%8A%97%E4%BD%93%E5%8F%8D%E5%BA%94/3715776?fromModule=lemma_inlink"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抗原抗体反应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进行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"https://baike.baidu.com/item/%E7%BB%84%E7%BB%87/5105513?fromModule=lemma_inlink"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组织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或细胞内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"https://baike.baidu.com/item/%E6%8A%97%E5%8E%9F%E7%89%A9%E8%B4%A8/3271541?fromModule=lemma_inlink"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抗原物质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的定位。</w:t>
      </w:r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可用于研究细胞分子的定位，表达和功能，以及疾病的发生机制和诊断，用于检测细菌，病毒等微生物中的特定蛋白质，从而为疾病的诊断和治疗提供帮助。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7" w:name="_Toc32354"/>
      <w:r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实验仪器、试剂耗材</w:t>
      </w:r>
      <w:bookmarkEnd w:id="16"/>
      <w:bookmarkEnd w:id="1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18" w:name="_Toc23402"/>
      <w:bookmarkStart w:id="19" w:name="_Toc2717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.1仪器</w:t>
      </w:r>
      <w:bookmarkEnd w:id="18"/>
      <w:bookmarkEnd w:id="19"/>
    </w:p>
    <w:tbl>
      <w:tblPr>
        <w:tblStyle w:val="15"/>
        <w:tblW w:w="4998" w:type="pct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38"/>
        <w:gridCol w:w="3819"/>
        <w:gridCol w:w="2975"/>
      </w:tblGrid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36" w:type="pct"/>
            <w:tcBorders>
              <w:bottom w:val="single" w:color="000000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仪器名称</w:t>
            </w:r>
          </w:p>
        </w:tc>
        <w:tc>
          <w:tcPr>
            <w:tcW w:w="2003" w:type="pct"/>
            <w:tcBorders>
              <w:left w:val="nil"/>
              <w:bottom w:val="single" w:color="000000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品牌</w:t>
            </w:r>
          </w:p>
        </w:tc>
        <w:tc>
          <w:tcPr>
            <w:tcW w:w="1560" w:type="pct"/>
            <w:tcBorders>
              <w:left w:val="nil"/>
              <w:bottom w:val="single" w:color="000000" w:sz="8" w:space="0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型号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op w:val="single" w:color="000000" w:sz="8" w:space="0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脱色摇床</w:t>
            </w:r>
          </w:p>
        </w:tc>
        <w:tc>
          <w:tcPr>
            <w:tcW w:w="2003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谷歌生物</w:t>
            </w:r>
          </w:p>
        </w:tc>
        <w:tc>
          <w:tcPr>
            <w:tcW w:w="1560" w:type="pct"/>
            <w:tcBorders>
              <w:top w:val="single" w:color="000000" w:sz="8" w:space="0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TSY-B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涡旋混合器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谷歌生物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MX-F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掌上离心机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谷歌生物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D1008E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移液枪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Dragon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KE0003087/KA0056573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组化笔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Gene tech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/>
                <w14:textFill>
                  <w14:solidFill>
                    <w14:schemeClr w14:val="tx1"/>
                  </w14:solidFill>
                </w14:textFill>
              </w:rPr>
              <w:t>GT1001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冰箱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青岛海尔股份有限公司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BCD-192TGN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20" w:name="_Toc10658"/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荧光生物显微镜</w:t>
            </w:r>
          </w:p>
        </w:tc>
        <w:tc>
          <w:tcPr>
            <w:tcW w:w="2003" w:type="pct"/>
            <w:tcBorders>
              <w:top w:val="nil"/>
              <w:left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广州市明美光电技术有限公司</w:t>
            </w:r>
          </w:p>
        </w:tc>
        <w:tc>
          <w:tcPr>
            <w:tcW w:w="1560" w:type="pct"/>
            <w:tcBorders>
              <w:top w:val="nil"/>
              <w:lef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MF23-M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21" w:name="_Toc1871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.2试剂</w:t>
      </w:r>
      <w:bookmarkEnd w:id="20"/>
      <w:bookmarkEnd w:id="21"/>
    </w:p>
    <w:tbl>
      <w:tblPr>
        <w:tblStyle w:val="15"/>
        <w:tblW w:w="4998" w:type="pct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7"/>
        <w:gridCol w:w="3814"/>
        <w:gridCol w:w="2941"/>
      </w:tblGrid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2000" w:type="pct"/>
            <w:tcBorders>
              <w:left w:val="nil"/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厂家</w:t>
            </w:r>
          </w:p>
        </w:tc>
        <w:tc>
          <w:tcPr>
            <w:tcW w:w="1542" w:type="pct"/>
            <w:tcBorders>
              <w:left w:val="nil"/>
              <w:bottom w:val="single" w:color="000000" w:themeColor="text1" w:sz="8" w:space="0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货号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PBS缓冲液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G0002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4%多聚甲醛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BL539A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22" w:name="_Toc17607"/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山羊血清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索莱宝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SL038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一抗：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二抗：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DAPI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BS097-10mg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破膜液</w:t>
            </w:r>
          </w:p>
        </w:tc>
        <w:tc>
          <w:tcPr>
            <w:tcW w:w="2000" w:type="pct"/>
            <w:tcBorders>
              <w:top w:val="nil"/>
              <w:left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BS084-100ml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23" w:name="_Toc27670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.3耗材</w:t>
      </w:r>
      <w:bookmarkEnd w:id="22"/>
      <w:bookmarkEnd w:id="23"/>
    </w:p>
    <w:tbl>
      <w:tblPr>
        <w:tblStyle w:val="15"/>
        <w:tblW w:w="4998" w:type="pct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7"/>
        <w:gridCol w:w="3814"/>
        <w:gridCol w:w="2941"/>
      </w:tblGrid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2000" w:type="pct"/>
            <w:tcBorders>
              <w:left w:val="nil"/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厂家</w:t>
            </w:r>
          </w:p>
        </w:tc>
        <w:tc>
          <w:tcPr>
            <w:tcW w:w="1542" w:type="pct"/>
            <w:tcBorders>
              <w:left w:val="nil"/>
              <w:bottom w:val="single" w:color="000000" w:themeColor="text1" w:sz="8" w:space="0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货号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single" w:color="000000" w:themeColor="text1" w:sz="8" w:space="0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粘附性载玻片</w:t>
            </w:r>
          </w:p>
        </w:tc>
        <w:tc>
          <w:tcPr>
            <w:tcW w:w="2000" w:type="pct"/>
            <w:tcBorders>
              <w:top w:val="single" w:color="000000" w:themeColor="text1" w:sz="8" w:space="0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1542" w:type="pct"/>
            <w:tcBorders>
              <w:top w:val="single" w:color="000000" w:themeColor="text1" w:sz="8" w:space="0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80312/80302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显微镜盖玻片</w:t>
            </w:r>
          </w:p>
        </w:tc>
        <w:tc>
          <w:tcPr>
            <w:tcW w:w="2000" w:type="pct"/>
            <w:tcBorders>
              <w:top w:val="nil"/>
              <w:left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1542" w:type="pct"/>
            <w:tcBorders>
              <w:top w:val="nil"/>
              <w:lef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80340-1630</w:t>
            </w:r>
          </w:p>
        </w:tc>
      </w:tr>
    </w:tbl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4" w:name="_Toc12300"/>
      <w:bookmarkStart w:id="25" w:name="_Toc6790"/>
      <w:bookmarkStart w:id="26" w:name="_Toc14512"/>
      <w:r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实验步骤</w:t>
      </w:r>
      <w:bookmarkEnd w:id="24"/>
      <w:bookmarkEnd w:id="25"/>
      <w:bookmarkEnd w:id="26"/>
      <w:bookmarkStart w:id="27" w:name="_Toc17182"/>
      <w:bookmarkStart w:id="28" w:name="_Toc27275"/>
      <w:bookmarkStart w:id="29" w:name="_Toc9168"/>
      <w:bookmarkStart w:id="30" w:name="_Toc8714"/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4.1</w:t>
      </w:r>
      <w:bookmarkEnd w:id="27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细胞破膜：加入PBS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在脱色摇床上晃动洗涤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3次，每次5min，爬片稍甩干后用组化笔在盖玻片中间细胞分布均匀的位置画圈（防止抗体流走），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加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50-100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μ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l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破膜工作液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，室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温孵育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20min，PBS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洗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3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次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每次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5 min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。</w:t>
      </w:r>
    </w:p>
    <w:bookmarkEnd w:id="28"/>
    <w:bookmarkEnd w:id="29"/>
    <w:bookmarkEnd w:id="30"/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4.2血清封闭，轻轻甩掉封闭液，在细胞孔板里滴加封闭用正常山羊血清工作液均匀覆盖组织，室温封闭30min。</w:t>
      </w:r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default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4.3孵育一抗，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轻轻甩掉封闭液，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在细胞孔板里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滴加PBS按一定比例配好的一抗，切片平放于湿盒内4°C孵育过夜。（湿盒内加少量水防止抗体蒸发）</w:t>
      </w:r>
    </w:p>
    <w:tbl>
      <w:tblPr>
        <w:tblStyle w:val="16"/>
        <w:tblW w:w="94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5"/>
        <w:gridCol w:w="1907"/>
        <w:gridCol w:w="1907"/>
        <w:gridCol w:w="24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144" w:beforeLines="50" w:beforeAutospacing="0" w:after="144" w:afterLines="5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 w:bidi="ar"/>
              </w:rPr>
              <w:t>名称</w:t>
            </w:r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144" w:beforeLines="50" w:beforeAutospacing="0" w:after="144" w:afterLines="5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 w:bidi="ar"/>
              </w:rPr>
              <w:t>稀释比</w:t>
            </w:r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144" w:beforeLines="50" w:beforeAutospacing="0" w:after="144" w:afterLines="5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 w:bidi="ar"/>
              </w:rPr>
              <w:t>品牌</w:t>
            </w:r>
          </w:p>
        </w:tc>
        <w:tc>
          <w:tcPr>
            <w:tcW w:w="249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144" w:beforeLines="50" w:beforeAutospacing="0" w:after="144" w:afterLines="5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 w:bidi="ar"/>
              </w:rPr>
              <w:t>货号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144" w:beforeLines="50" w:beforeAutospacing="0" w:after="144" w:afterLines="50" w:afterAutospacing="0"/>
              <w:ind w:left="0" w:right="0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144" w:beforeLines="50" w:beforeAutospacing="0" w:after="144" w:afterLines="50" w:afterAutospacing="0"/>
              <w:ind w:left="0" w:right="0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144" w:beforeLines="50" w:beforeAutospacing="0" w:after="144" w:afterLines="50" w:afterAutospacing="0"/>
              <w:ind w:left="0" w:right="0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249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144" w:beforeLines="50" w:beforeAutospacing="0" w:after="144" w:afterLines="50" w:afterAutospacing="0"/>
              <w:ind w:left="0" w:right="0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144" w:beforeLines="50" w:beforeAutospacing="0" w:after="144" w:afterLines="50" w:afterAutospacing="0"/>
              <w:ind w:left="0" w:right="0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144" w:beforeLines="50" w:beforeAutospacing="0" w:after="144" w:afterLines="50" w:afterAutospacing="0"/>
              <w:ind w:left="0" w:right="0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144" w:beforeLines="50" w:beforeAutospacing="0" w:after="144" w:afterLines="50" w:afterAutospacing="0"/>
              <w:ind w:left="0" w:right="0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144" w:beforeLines="50" w:beforeAutospacing="0" w:after="144" w:afterLines="50" w:afterAutospacing="0"/>
              <w:ind w:left="0" w:right="0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144" w:beforeLines="50" w:beforeAutospacing="0" w:after="144" w:afterLines="5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144" w:beforeLines="50" w:beforeAutospacing="0" w:after="144" w:afterLines="5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144" w:beforeLines="50" w:beforeAutospacing="0" w:after="144" w:afterLines="5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144" w:beforeLines="50" w:beforeAutospacing="0" w:after="144" w:afterLines="5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144" w:beforeLines="50" w:beforeAutospacing="0" w:after="144" w:afterLines="5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190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144" w:beforeLines="50" w:beforeAutospacing="0" w:after="144" w:afterLines="5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190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144" w:beforeLines="50" w:beforeAutospacing="0" w:after="144" w:afterLines="5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249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144" w:beforeLines="50" w:beforeAutospacing="0" w:after="144" w:afterLines="5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</w:tr>
    </w:tbl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</w:pP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4.4孵育二抗，加入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PBS（PH7.4）在脱色摇床上晃动洗涤3次，每次5min。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在细胞孔板里加入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与一抗相应种属的二抗（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CY3/FITC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标记）覆盖组织，室温孵育50min，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避光，将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玻片置于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盛有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PBS（PH7.4）中在脱色摇床上晃动洗涤3次，每次5min。</w:t>
      </w:r>
    </w:p>
    <w:tbl>
      <w:tblPr>
        <w:tblStyle w:val="16"/>
        <w:tblW w:w="94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5"/>
        <w:gridCol w:w="1907"/>
        <w:gridCol w:w="1907"/>
        <w:gridCol w:w="24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144" w:beforeLines="50" w:beforeAutospacing="0" w:after="144" w:afterLines="5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 w:bidi="ar"/>
              </w:rPr>
              <w:t>名称</w:t>
            </w:r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144" w:beforeLines="50" w:beforeAutospacing="0" w:after="144" w:afterLines="5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 w:bidi="ar"/>
              </w:rPr>
              <w:t>稀释比</w:t>
            </w:r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144" w:beforeLines="50" w:beforeAutospacing="0" w:after="144" w:afterLines="5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 w:bidi="ar"/>
              </w:rPr>
              <w:t>品牌</w:t>
            </w:r>
          </w:p>
        </w:tc>
        <w:tc>
          <w:tcPr>
            <w:tcW w:w="249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144" w:beforeLines="50" w:beforeAutospacing="0" w:after="144" w:afterLines="5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 w:bidi="ar"/>
              </w:rPr>
              <w:t>货号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144" w:beforeLines="50" w:beforeAutospacing="0" w:after="144" w:afterLines="50" w:afterAutospacing="0"/>
              <w:ind w:left="0" w:right="0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144" w:beforeLines="50" w:beforeAutospacing="0" w:after="144" w:afterLines="50" w:afterAutospacing="0"/>
              <w:ind w:left="0" w:right="0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144" w:beforeLines="50" w:beforeAutospacing="0" w:after="144" w:afterLines="50" w:afterAutospacing="0"/>
              <w:ind w:left="0" w:right="0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  <w:tc>
          <w:tcPr>
            <w:tcW w:w="249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144" w:beforeLines="50" w:beforeAutospacing="0" w:after="144" w:afterLines="50" w:afterAutospacing="0"/>
              <w:ind w:left="0" w:right="0"/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aps w:val="0"/>
                <w:kern w:val="1"/>
                <w:sz w:val="21"/>
                <w:szCs w:val="21"/>
                <w:highlight w:val="none"/>
                <w:lang w:val="en-US" w:eastAsia="zh-CN"/>
              </w:rPr>
              <w:t>/</w:t>
            </w:r>
          </w:p>
        </w:tc>
      </w:tr>
    </w:tbl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bookmarkStart w:id="31" w:name="_Toc21139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4.</w:t>
      </w:r>
      <w:bookmarkEnd w:id="31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5DAPI复染细胞核，玻片置于TBST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4次，每次5min。切片稍甩干后在圈内滴加DAPI染液，避光室温孵育5min。玻片置于TBST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4次，每次5min。</w:t>
      </w:r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</w:pPr>
      <w:bookmarkStart w:id="32" w:name="_Toc17436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.</w:t>
      </w:r>
      <w:bookmarkEnd w:id="32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6封片；挑起爬片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后，用抗荧光淬灭封片剂封片。</w:t>
      </w:r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default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7</w:t>
      </w:r>
      <w:r>
        <w:rPr>
          <w:rFonts w:hint="default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镜检。</w:t>
      </w:r>
    </w:p>
    <w:p>
      <w:pPr>
        <w:pStyle w:val="2"/>
        <w:numPr>
          <w:ilvl w:val="0"/>
          <w:numId w:val="4"/>
        </w:numPr>
        <w:spacing w:before="240" w:beforeLines="100" w:after="120" w:afterLines="50" w:line="360" w:lineRule="auto"/>
        <w:rPr>
          <w:rFonts w:hint="eastAsia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33" w:name="_Toc19002"/>
      <w:r>
        <w:rPr>
          <w:rFonts w:hint="eastAsia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染色结果</w:t>
      </w:r>
      <w:bookmarkEnd w:id="33"/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切片于荧光显微镜下观察并采集图像。（DAPI紫外激发波长330-380nm，发射波长420nm，发蓝光；FITC激发波长465-495nm，发射波长515-555 nm，发绿光。CY3激发波长510-560，发射波长590nm，发红光。）</w:t>
      </w: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26514C9"/>
    <w:multiLevelType w:val="multilevel"/>
    <w:tmpl w:val="626514C9"/>
    <w:lvl w:ilvl="0" w:tentative="0">
      <w:start w:val="1"/>
      <w:numFmt w:val="decimal"/>
      <w:pStyle w:val="66"/>
      <w:suff w:val="space"/>
      <w:lvlText w:val="%1"/>
      <w:lvlJc w:val="left"/>
      <w:pPr>
        <w:ind w:left="425" w:hanging="425"/>
      </w:pPr>
      <w:rPr>
        <w:rFonts w:hint="default" w:ascii="Times New Roman" w:hAnsi="Times New Roman" w:eastAsia="黑体"/>
        <w:b/>
        <w:i w:val="0"/>
        <w:sz w:val="30"/>
        <w:szCs w:val="30"/>
      </w:rPr>
    </w:lvl>
    <w:lvl w:ilvl="1" w:tentative="0">
      <w:start w:val="1"/>
      <w:numFmt w:val="decimal"/>
      <w:pStyle w:val="65"/>
      <w:suff w:val="space"/>
      <w:lvlText w:val="%1.%2"/>
      <w:lvlJc w:val="left"/>
      <w:pPr>
        <w:ind w:left="567" w:hanging="567"/>
      </w:pPr>
      <w:rPr>
        <w:rFonts w:hint="default" w:ascii="Times New Roman" w:hAnsi="Times New Roman" w:eastAsia="黑体"/>
        <w:b/>
        <w:i w:val="0"/>
        <w:sz w:val="28"/>
        <w:szCs w:val="28"/>
      </w:rPr>
    </w:lvl>
    <w:lvl w:ilvl="2" w:tentative="0">
      <w:start w:val="1"/>
      <w:numFmt w:val="decimal"/>
      <w:pStyle w:val="64"/>
      <w:suff w:val="space"/>
      <w:lvlText w:val="%1.%2.%3"/>
      <w:lvlJc w:val="left"/>
      <w:pPr>
        <w:ind w:left="709" w:hanging="709"/>
      </w:pPr>
      <w:rPr>
        <w:rFonts w:hint="default" w:ascii="Times New Roman" w:hAnsi="Times New Roman" w:eastAsia="黑体"/>
        <w:b/>
        <w:i w:val="0"/>
        <w:sz w:val="24"/>
        <w:szCs w:val="24"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6F60E2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8F368D"/>
    <w:rsid w:val="109951E3"/>
    <w:rsid w:val="109F24C0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03013C"/>
    <w:rsid w:val="18AB0A17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6A3B8F"/>
    <w:rsid w:val="2B9B40AD"/>
    <w:rsid w:val="2BE336C9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4B012A"/>
    <w:rsid w:val="448C6831"/>
    <w:rsid w:val="4597370E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CED50F0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23829FC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5E5675C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41B68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2FF618D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8D40CC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3">
    <w:name w:val="无"/>
    <w:qFormat/>
    <w:uiPriority w:val="0"/>
  </w:style>
  <w:style w:type="paragraph" w:customStyle="1" w:styleId="64">
    <w:name w:val="1.1.1标题(4级大纲)"/>
    <w:basedOn w:val="65"/>
    <w:next w:val="67"/>
    <w:qFormat/>
    <w:uiPriority w:val="0"/>
    <w:pPr>
      <w:numPr>
        <w:ilvl w:val="2"/>
        <w:numId w:val="2"/>
      </w:numPr>
      <w:tabs>
        <w:tab w:val="left" w:pos="240"/>
      </w:tabs>
      <w:spacing w:after="156"/>
    </w:pPr>
    <w:rPr>
      <w:sz w:val="24"/>
    </w:rPr>
  </w:style>
  <w:style w:type="paragraph" w:customStyle="1" w:styleId="65">
    <w:name w:val="1.1标题(3级大纲)"/>
    <w:basedOn w:val="66"/>
    <w:next w:val="67"/>
    <w:qFormat/>
    <w:uiPriority w:val="0"/>
    <w:pPr>
      <w:numPr>
        <w:ilvl w:val="1"/>
        <w:numId w:val="2"/>
      </w:numPr>
      <w:tabs>
        <w:tab w:val="left" w:pos="240"/>
      </w:tabs>
      <w:outlineLvl w:val="2"/>
    </w:pPr>
    <w:rPr>
      <w:sz w:val="28"/>
    </w:rPr>
  </w:style>
  <w:style w:type="paragraph" w:customStyle="1" w:styleId="66">
    <w:name w:val="1 标题(2级大纲)"/>
    <w:qFormat/>
    <w:uiPriority w:val="0"/>
    <w:pPr>
      <w:numPr>
        <w:ilvl w:val="0"/>
        <w:numId w:val="2"/>
      </w:numPr>
      <w:tabs>
        <w:tab w:val="left" w:pos="240"/>
      </w:tabs>
      <w:spacing w:after="50" w:afterLines="50" w:line="360" w:lineRule="auto"/>
      <w:outlineLvl w:val="1"/>
    </w:pPr>
    <w:rPr>
      <w:rFonts w:ascii="Times New Roman" w:hAnsi="Times New Roman" w:eastAsia="黑体" w:cs="Times New Roman"/>
      <w:b/>
      <w:kern w:val="2"/>
      <w:sz w:val="30"/>
      <w:szCs w:val="24"/>
      <w:lang w:val="en-US" w:eastAsia="zh-CN" w:bidi="ar-SA"/>
    </w:rPr>
  </w:style>
  <w:style w:type="paragraph" w:customStyle="1" w:styleId="67">
    <w:name w:val="论文正文"/>
    <w:basedOn w:val="1"/>
    <w:qFormat/>
    <w:uiPriority w:val="0"/>
    <w:pPr>
      <w:spacing w:line="360" w:lineRule="auto"/>
      <w:ind w:firstLine="200" w:firstLineChars="200"/>
    </w:pPr>
  </w:style>
  <w:style w:type="paragraph" w:customStyle="1" w:styleId="68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2435</Words>
  <Characters>2790</Characters>
  <Lines>29</Lines>
  <Paragraphs>8</Paragraphs>
  <TotalTime>0</TotalTime>
  <ScaleCrop>false</ScaleCrop>
  <LinksUpToDate>false</LinksUpToDate>
  <CharactersWithSpaces>2833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2024-07-10T09:19:42Z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212816F1792C4A9F8D04B75F6B25608E_13</vt:lpwstr>
  </property>
</Properties>
</file>