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甲苯胺蓝染色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甲苯胺蓝染色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7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7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40" w:name="_GoBack"/>
      <w:bookmarkEnd w:id="40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1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612771"/>
      <w:bookmarkStart w:id="1" w:name="_Toc169253391"/>
      <w:bookmarkStart w:id="2" w:name="_Toc3116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1715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4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4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/>
        <w:keepLines/>
        <w:pageBreakBefore/>
        <w:spacing w:line="360" w:lineRule="auto"/>
        <w:jc w:val="both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2"/>
            <w:jc w:val="center"/>
            <w:rPr>
              <w:color w:val="auto"/>
              <w:sz w:val="24"/>
              <w:szCs w:val="24"/>
            </w:rPr>
          </w:pPr>
          <w:r>
            <w:rPr>
              <w:color w:val="auto"/>
              <w:sz w:val="24"/>
              <w:szCs w:val="24"/>
              <w:lang w:val="zh-CN"/>
            </w:rPr>
            <w:t>目录</w:t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_Toc10020 </w:instrText>
          </w:r>
          <w:r>
            <w:rPr>
              <w:szCs w:val="24"/>
            </w:rPr>
            <w:fldChar w:fldCharType="separate"/>
          </w:r>
          <w:r>
            <w:rPr>
              <w:rFonts w:eastAsiaTheme="minorEastAsia"/>
              <w:szCs w:val="28"/>
            </w:rPr>
            <w:t>一、 样本信息</w:t>
          </w:r>
          <w:r>
            <w:tab/>
          </w:r>
          <w:r>
            <w:fldChar w:fldCharType="begin"/>
          </w:r>
          <w:r>
            <w:instrText xml:space="preserve"> PAGEREF _Toc10020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_Toc10415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 xml:space="preserve">二、 </w:t>
          </w:r>
          <w:r>
            <w:rPr>
              <w:rFonts w:hint="eastAsia" w:eastAsiaTheme="minorEastAsia"/>
              <w:szCs w:val="28"/>
              <w:lang w:val="en-US" w:eastAsia="zh-CN"/>
            </w:rPr>
            <w:t>实验简介</w:t>
          </w:r>
          <w:r>
            <w:tab/>
          </w:r>
          <w:r>
            <w:fldChar w:fldCharType="begin"/>
          </w:r>
          <w:r>
            <w:instrText xml:space="preserve"> PAGEREF _Toc10415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_Toc8901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>三、 实验仪器</w:t>
          </w:r>
          <w:r>
            <w:tab/>
          </w:r>
          <w:r>
            <w:fldChar w:fldCharType="begin"/>
          </w:r>
          <w:r>
            <w:instrText xml:space="preserve"> PAGEREF _Toc8901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_Toc16912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四、 实验步骤</w:t>
          </w:r>
          <w:r>
            <w:tab/>
          </w:r>
          <w:r>
            <w:fldChar w:fldCharType="begin"/>
          </w:r>
          <w:r>
            <w:instrText xml:space="preserve"> PAGEREF _Toc16912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_Toc10285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 xml:space="preserve">五、 </w:t>
          </w:r>
          <w:r>
            <w:rPr>
              <w:rFonts w:hint="default" w:eastAsiaTheme="minorEastAsia"/>
              <w:szCs w:val="28"/>
              <w:lang w:val="en-US" w:eastAsia="zh-CN"/>
            </w:rPr>
            <w:t>图像采集</w:t>
          </w:r>
          <w:r>
            <w:tab/>
          </w:r>
          <w:r>
            <w:fldChar w:fldCharType="begin"/>
          </w:r>
          <w:r>
            <w:instrText xml:space="preserve"> PAGEREF _Toc10285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5" w:name="_Toc85906420"/>
      <w:bookmarkStart w:id="6" w:name="_Toc40709121"/>
      <w:bookmarkStart w:id="7" w:name="_Toc149670078"/>
      <w:bookmarkStart w:id="8" w:name="_Toc509220866"/>
      <w:bookmarkStart w:id="9" w:name="_Toc10020"/>
      <w:bookmarkStart w:id="10" w:name="_Toc67067673"/>
      <w:bookmarkStart w:id="11" w:name="_Toc54712428"/>
      <w:bookmarkStart w:id="12" w:name="_Toc67061766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3" w:name="_Toc10415"/>
      <w:bookmarkStart w:id="14" w:name="_Toc85906421"/>
      <w:bookmarkStart w:id="15" w:name="_Toc149670079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Calibri" w:hAnsi="宋体" w:cs="宋体"/>
          <w:b w:val="0"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Calibri" w:hAnsi="宋体" w:cs="宋体"/>
          <w:b w:val="0"/>
          <w:bCs/>
          <w:sz w:val="24"/>
          <w:szCs w:val="24"/>
          <w:highlight w:val="none"/>
          <w:lang w:val="en-US" w:eastAsia="zh-CN"/>
        </w:rPr>
        <w:t>肥大细胞胞质内含有肝素和组织胺等，软骨组织内含有硫酸软骨素，这些物质具有异染性能够被甲苯胺蓝异染呈紫红色。神经元内的尼氏体对盐基性染料如甲苯胺蓝，硫堇，亚甲蓝等具有亲和力。</w:t>
      </w:r>
    </w:p>
    <w:p/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6" w:name="_Toc8901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4"/>
      <w:bookmarkEnd w:id="15"/>
      <w:bookmarkEnd w:id="16"/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JT-12S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上海徕卡仪器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RM2016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冻台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7" w:name="_Toc85906423"/>
            <w:bookmarkStart w:id="18" w:name="_Toc149670081"/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JK-5/6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烤箱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绍兴泸越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101-3B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DM500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Pannoramic MIDI II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甲苯胺蓝染液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武汉赛维尔生物科技有限公司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G1032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冰醋酸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成都市科隆化学品有限公司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上海懿洋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YSQN41-91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2556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22022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9" w:name="_Toc16912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0" w:name="_Toc24187"/>
      <w:bookmarkStart w:id="21" w:name="_Toc1718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.1组织固定。新鲜组织用固定液固定24h以上。将组织修平整，放于脱水盒内。</w:t>
      </w:r>
      <w:bookmarkEnd w:id="20"/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2" w:name="_Toc3786"/>
      <w:bookmarkStart w:id="23" w:name="_Toc2906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.2组织脱水。将脱水盒放进组织脱水机依次脱水，75%酒精4h，85%酒精2h，90%酒精2h，95%酒精1h，无水乙醇I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30min，无水乙醇II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30min，醇苯5-10min，二甲苯I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10min，二甲苯II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10min，蜡I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1h，蜡III 1h。</w:t>
      </w:r>
      <w:bookmarkEnd w:id="22"/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4" w:name="_Toc21139"/>
      <w:bookmarkStart w:id="25" w:name="_Toc1483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.3组织包埋。将浸好蜡的组织于包埋机内进行包埋，贴上标签。</w:t>
      </w:r>
      <w:bookmarkEnd w:id="24"/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6" w:name="_Toc27842"/>
      <w:bookmarkStart w:id="27" w:name="_Toc710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.4石蜡切片。使用石蜡切片机切片，厚3μm。切片在摊片机40℃ 温水展平，烘箱60℃ 烤片。</w:t>
      </w:r>
      <w:bookmarkEnd w:id="26"/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8" w:name="_Toc10198"/>
      <w:bookmarkStart w:id="29" w:name="_Toc1589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.5脱蜡至水。将切片依次放入二甲苯Ⅰ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min，无水乙醇Ⅰ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5min，无水乙醇Ⅱ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5min，95%酒精5min，85%酒精5min，75%酒精5min，纯水5min。</w:t>
      </w:r>
      <w:bookmarkEnd w:id="28"/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0" w:name="_Toc7473"/>
      <w:bookmarkStart w:id="31" w:name="_Toc892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.6</w:t>
      </w:r>
      <w:bookmarkEnd w:id="30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甲苯胺蓝染色。组织切片进入甲苯胺蓝染液染色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15s-2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min，自来水洗稍微洗去多余染液。</w:t>
      </w:r>
      <w:bookmarkEnd w:id="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2" w:name="_Toc26560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sym w:font="Wingdings" w:char="F081"/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植物组织切片，水洗后镜检，根据着色程度用0.1%冰醋酸进行适当分化。若着色程度合适不需要分化，则将切片置于60℃烘箱烘干。</w:t>
      </w:r>
      <w:bookmarkEnd w:id="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3" w:name="_Toc1843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sym w:font="Wingdings" w:char="F082"/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动物组织切片，水洗后经0.1%冰醋酸分化，显微镜观察分化程度，分化至背景浅蓝色、尼氏体、软骨、肥大细胞等着色明显即可。自来水洗终止分化，将切片置于60℃烘箱烘干。</w:t>
      </w:r>
      <w:bookmarkEnd w:id="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Calibri" w:hAnsi="宋体" w:cs="宋体"/>
          <w:b w:val="0"/>
          <w:bCs/>
          <w:color w:val="auto"/>
          <w:kern w:val="2"/>
          <w:sz w:val="24"/>
          <w:szCs w:val="24"/>
          <w:lang w:val="en-US" w:eastAsia="zh-CN" w:bidi="ar-SA"/>
        </w:rPr>
      </w:pPr>
      <w:bookmarkStart w:id="34" w:name="_Toc1826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.7封片。</w:t>
      </w:r>
      <w:r>
        <w:rPr>
          <w:rFonts w:hint="eastAsia" w:ascii="Calibri" w:hAnsi="宋体" w:cs="宋体"/>
          <w:b w:val="0"/>
          <w:bCs/>
          <w:color w:val="auto"/>
          <w:kern w:val="2"/>
          <w:sz w:val="24"/>
          <w:szCs w:val="24"/>
          <w:lang w:val="en-US" w:eastAsia="zh-CN" w:bidi="ar-SA"/>
        </w:rPr>
        <w:t>将干净的二甲苯端至烤箱旁边，取出烤干的切片，浸入该二甲苯中透明15min或者待玻片冷却后，用中性树胶封片。</w:t>
      </w:r>
      <w:bookmarkEnd w:id="3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5" w:name="_Toc1244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.8镜检</w:t>
      </w:r>
      <w:bookmarkEnd w:id="3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6" w:name="_Toc10285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图像采集</w:t>
      </w:r>
      <w:bookmarkEnd w:id="36"/>
    </w:p>
    <w:bookmarkEnd w:id="17"/>
    <w:bookmarkEnd w:id="18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7" w:name="_Toc22036"/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采用数字切片扫描仪/显微镜进行图像采集。</w:t>
      </w:r>
      <w:bookmarkEnd w:id="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8" w:name="_Toc17018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sym w:font="Wingdings" w:char="F081"/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植物组织：木质化细胞壁呈蓝绿色，纤维素细胞壁呈紫蓝色；</w:t>
      </w:r>
      <w:bookmarkEnd w:id="3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9" w:name="_Toc16168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sym w:font="Wingdings" w:char="F082"/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动物组织：脑组织尼氏体呈深蓝色，背景淡蓝色；骨组织软骨呈紫蓝色，背景浅蓝色；肠组织肥大细胞呈紫红色，细胞核呈浅蓝色，背景浅蓝色。</w:t>
      </w:r>
      <w:bookmarkEnd w:id="39"/>
    </w:p>
    <w:tbl>
      <w:tblPr>
        <w:tblStyle w:val="16"/>
        <w:tblW w:w="9516" w:type="dxa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1"/>
        <w:gridCol w:w="4815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840355" cy="1893570"/>
                  <wp:effectExtent l="0" t="0" r="17145" b="11430"/>
                  <wp:docPr id="3" name="图片 3" descr="赛维尔 骨1 甲苯胺蓝 40x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赛维尔 骨1 甲苯胺蓝 40x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918460" cy="1945640"/>
                  <wp:effectExtent l="0" t="0" r="15240" b="16510"/>
                  <wp:docPr id="5" name="图片 5" descr="赛维尔 骨1 甲苯胺蓝 100x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赛维尔 骨1 甲苯胺蓝 100x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骨40x</w:t>
            </w:r>
          </w:p>
        </w:tc>
        <w:tc>
          <w:tcPr>
            <w:tcW w:w="48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骨 100x</w:t>
            </w:r>
          </w:p>
        </w:tc>
      </w:tr>
    </w:tbl>
    <w:p>
      <w:pPr>
        <w:spacing w:after="120" w:afterLines="50" w:line="360" w:lineRule="auto"/>
        <w:rPr>
          <w:rFonts w:hint="eastAsia" w:ascii="Times New Roman" w:hAnsi="Times New Roman" w:eastAsiaTheme="minorEastAsia"/>
          <w:b/>
          <w:bCs/>
          <w:sz w:val="24"/>
          <w:szCs w:val="24"/>
          <w:lang w:val="en-US" w:eastAsia="zh-CN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3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D27009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B74313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12756E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0B5DAF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5214A0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224607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4B012A"/>
    <w:rsid w:val="448C6831"/>
    <w:rsid w:val="4597370E"/>
    <w:rsid w:val="463333B8"/>
    <w:rsid w:val="46ED75D1"/>
    <w:rsid w:val="47024B89"/>
    <w:rsid w:val="47804A75"/>
    <w:rsid w:val="479E4324"/>
    <w:rsid w:val="47D7CDC5"/>
    <w:rsid w:val="482C4A17"/>
    <w:rsid w:val="485A5323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3C70C3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B07591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623148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5F38DF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6F24E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377BE"/>
    <w:rsid w:val="74566E91"/>
    <w:rsid w:val="74774706"/>
    <w:rsid w:val="74C63A27"/>
    <w:rsid w:val="74D23626"/>
    <w:rsid w:val="74D80B53"/>
    <w:rsid w:val="75325667"/>
    <w:rsid w:val="756F7C29"/>
    <w:rsid w:val="758D4034"/>
    <w:rsid w:val="75FE6CDF"/>
    <w:rsid w:val="761D1BA4"/>
    <w:rsid w:val="76685F07"/>
    <w:rsid w:val="76996EEE"/>
    <w:rsid w:val="76B15747"/>
    <w:rsid w:val="773F40B1"/>
    <w:rsid w:val="7814095E"/>
    <w:rsid w:val="79740900"/>
    <w:rsid w:val="797F45E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3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4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5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7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8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9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Normal (Web)"/>
    <w:basedOn w:val="1"/>
    <w:semiHidden/>
    <w:unhideWhenUsed/>
    <w:qFormat/>
    <w:lock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30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5">
    <w:name w:val="Body Text First Indent"/>
    <w:basedOn w:val="5"/>
    <w:link w:val="26"/>
    <w:qFormat/>
    <w:uiPriority w:val="99"/>
    <w:pPr>
      <w:spacing w:after="0"/>
      <w:ind w:firstLine="498"/>
    </w:pPr>
  </w:style>
  <w:style w:type="table" w:styleId="17">
    <w:name w:val="Table Grid"/>
    <w:basedOn w:val="16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Emphasis"/>
    <w:qFormat/>
    <w:uiPriority w:val="99"/>
    <w:rPr>
      <w:rFonts w:cs="Times New Roman"/>
      <w:color w:val="CC0000"/>
    </w:rPr>
  </w:style>
  <w:style w:type="character" w:styleId="21">
    <w:name w:val="Hyperlink"/>
    <w:basedOn w:val="18"/>
    <w:qFormat/>
    <w:uiPriority w:val="99"/>
    <w:rPr>
      <w:rFonts w:cs="Times New Roman"/>
      <w:color w:val="0563C1"/>
      <w:u w:val="single"/>
    </w:rPr>
  </w:style>
  <w:style w:type="character" w:customStyle="1" w:styleId="22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3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4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5">
    <w:name w:val="正文文本 字符"/>
    <w:basedOn w:val="18"/>
    <w:link w:val="5"/>
    <w:qFormat/>
    <w:locked/>
    <w:uiPriority w:val="99"/>
  </w:style>
  <w:style w:type="character" w:customStyle="1" w:styleId="26">
    <w:name w:val="正文文本首行缩进 字符"/>
    <w:link w:val="15"/>
    <w:qFormat/>
    <w:locked/>
    <w:uiPriority w:val="99"/>
    <w:rPr>
      <w:rFonts w:cs="Times New Roman"/>
    </w:rPr>
  </w:style>
  <w:style w:type="character" w:customStyle="1" w:styleId="27">
    <w:name w:val="批注框文本 字符"/>
    <w:link w:val="7"/>
    <w:qFormat/>
    <w:locked/>
    <w:uiPriority w:val="99"/>
    <w:rPr>
      <w:sz w:val="18"/>
    </w:rPr>
  </w:style>
  <w:style w:type="character" w:customStyle="1" w:styleId="28">
    <w:name w:val="页脚 字符"/>
    <w:link w:val="8"/>
    <w:qFormat/>
    <w:locked/>
    <w:uiPriority w:val="99"/>
    <w:rPr>
      <w:sz w:val="18"/>
    </w:rPr>
  </w:style>
  <w:style w:type="character" w:customStyle="1" w:styleId="29">
    <w:name w:val="页眉 字符"/>
    <w:link w:val="9"/>
    <w:qFormat/>
    <w:locked/>
    <w:uiPriority w:val="99"/>
    <w:rPr>
      <w:sz w:val="18"/>
    </w:rPr>
  </w:style>
  <w:style w:type="character" w:customStyle="1" w:styleId="30">
    <w:name w:val="标题 字符"/>
    <w:link w:val="14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1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2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3">
    <w:name w:val="样式1"/>
    <w:basedOn w:val="31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4">
    <w:name w:val="TOC 标题1"/>
    <w:basedOn w:val="33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5">
    <w:name w:val="样式2"/>
    <w:basedOn w:val="33"/>
    <w:qFormat/>
    <w:uiPriority w:val="99"/>
    <w:pPr>
      <w:ind w:hanging="360"/>
    </w:pPr>
  </w:style>
  <w:style w:type="paragraph" w:customStyle="1" w:styleId="36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9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40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1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2">
    <w:name w:val="列出段落 Char"/>
    <w:qFormat/>
    <w:uiPriority w:val="99"/>
  </w:style>
  <w:style w:type="character" w:customStyle="1" w:styleId="43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4">
    <w:name w:val="样式2 Char"/>
    <w:qFormat/>
    <w:uiPriority w:val="99"/>
    <w:rPr>
      <w:b/>
      <w:sz w:val="44"/>
    </w:rPr>
  </w:style>
  <w:style w:type="character" w:customStyle="1" w:styleId="45">
    <w:name w:val="Body Text First Indent Char1"/>
    <w:qFormat/>
    <w:uiPriority w:val="99"/>
    <w:rPr>
      <w:sz w:val="24"/>
    </w:rPr>
  </w:style>
  <w:style w:type="character" w:customStyle="1" w:styleId="46">
    <w:name w:val="apple-converted-space"/>
    <w:qFormat/>
    <w:uiPriority w:val="99"/>
  </w:style>
  <w:style w:type="character" w:customStyle="1" w:styleId="47">
    <w:name w:val="论文正文1 Char"/>
    <w:qFormat/>
    <w:uiPriority w:val="99"/>
    <w:rPr>
      <w:sz w:val="24"/>
    </w:rPr>
  </w:style>
  <w:style w:type="paragraph" w:customStyle="1" w:styleId="48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9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1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2">
    <w:name w:val="short_text"/>
    <w:qFormat/>
    <w:uiPriority w:val="0"/>
  </w:style>
  <w:style w:type="character" w:customStyle="1" w:styleId="53">
    <w:name w:val="明显强调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4">
    <w:name w:val="不明显强调1"/>
    <w:basedOn w:val="18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6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7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8">
    <w:name w:val="网格型浅色1"/>
    <w:basedOn w:val="1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9">
    <w:name w:val="网格表 6 彩色 - 着色 51"/>
    <w:basedOn w:val="16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60">
    <w:name w:val="明显强调1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1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2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3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4">
    <w:name w:val="无"/>
    <w:qFormat/>
    <w:uiPriority w:val="0"/>
  </w:style>
  <w:style w:type="paragraph" w:customStyle="1" w:styleId="65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2463</Words>
  <Characters>2753</Characters>
  <Lines>29</Lines>
  <Paragraphs>8</Paragraphs>
  <TotalTime>0</TotalTime>
  <ScaleCrop>false</ScaleCrop>
  <LinksUpToDate>false</LinksUpToDate>
  <CharactersWithSpaces>2809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2024-07-10T09:16:57Z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E70FCF52F5D1466983BC280DCDD97BC9_13</vt:lpwstr>
  </property>
</Properties>
</file>