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普鲁士蓝染色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1312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普鲁士蓝染色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2336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7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4384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7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47" w:name="_GoBack"/>
      <w:bookmarkEnd w:id="47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1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169253391"/>
      <w:bookmarkStart w:id="1" w:name="_Toc169612771"/>
      <w:bookmarkStart w:id="2" w:name="_Toc3116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jc w:val="righ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textAlignment w:val="auto"/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  <w:bookmarkStart w:id="3" w:name="_Toc1715"/>
      <w:r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  <w:t>注意事项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3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outlineLvl w:val="9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bookmarkStart w:id="4" w:name="_Toc15420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一、本报告未加盖本公司公章无效。</w:t>
      </w:r>
      <w:bookmarkEnd w:id="4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二、报告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齐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缝章不完整无效。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三、报告无批准人签字无效。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四、本报告涂改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eastAsia="zh-CN"/>
        </w:rPr>
        <w:t>或缺页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五、未经本公司书面允许，不得部分复制本报告（全文复制除外）。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六、若对检验报告有异议，应于收到报告之日起十五日内向本公司提出，逾期不予受理。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七、本公司只对本次检测样品负责，其检验检测数据、结果仅证明样品所检验检测项目的符合性。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八、不得使用本报告进行不当宣传。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九、本报告书一式两份，一份本公司存档，一份交委托单位。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2" w:firstLineChars="175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检验机构：成都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奥创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生物科技有限公司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line="360" w:lineRule="auto"/>
        <w:jc w:val="both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2"/>
            <w:jc w:val="center"/>
            <w:rPr>
              <w:color w:val="auto"/>
              <w:sz w:val="24"/>
              <w:szCs w:val="24"/>
            </w:rPr>
          </w:pPr>
          <w:r>
            <w:rPr>
              <w:rFonts w:hint="eastAsia" w:ascii="Calibri" w:hAnsi="Calibri" w:eastAsia="宋体" w:cs="Times New Roman"/>
              <w:color w:val="auto"/>
              <w:kern w:val="1"/>
              <w:sz w:val="24"/>
              <w:szCs w:val="24"/>
              <w:lang w:val="en-US" w:eastAsia="zh-CN"/>
            </w:rPr>
            <w:t xml:space="preserve"> </w:t>
          </w:r>
          <w:r>
            <w:rPr>
              <w:color w:val="auto"/>
              <w:sz w:val="24"/>
              <w:szCs w:val="24"/>
              <w:lang w:val="zh-CN"/>
            </w:rPr>
            <w:t>目录</w:t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Cs w:val="24"/>
            </w:rPr>
            <w:fldChar w:fldCharType="begin"/>
          </w:r>
          <w:r>
            <w:rPr>
              <w:szCs w:val="24"/>
            </w:rPr>
            <w:instrText xml:space="preserve"> HYPERLINK \l _Toc11400 </w:instrText>
          </w:r>
          <w:r>
            <w:rPr>
              <w:szCs w:val="24"/>
            </w:rPr>
            <w:fldChar w:fldCharType="separate"/>
          </w:r>
          <w:r>
            <w:rPr>
              <w:rFonts w:eastAsiaTheme="minorEastAsia"/>
              <w:szCs w:val="28"/>
            </w:rPr>
            <w:t>一、 样本信息</w:t>
          </w:r>
          <w:r>
            <w:tab/>
          </w:r>
          <w:r>
            <w:fldChar w:fldCharType="begin"/>
          </w:r>
          <w:r>
            <w:instrText xml:space="preserve"> PAGEREF _Toc11400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_Toc10364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eastAsiaTheme="minorEastAsia"/>
              <w:szCs w:val="28"/>
            </w:rPr>
            <w:t xml:space="preserve">二、 </w:t>
          </w:r>
          <w:r>
            <w:rPr>
              <w:rFonts w:hint="eastAsia" w:eastAsiaTheme="minorEastAsia"/>
              <w:szCs w:val="28"/>
              <w:lang w:val="en-US" w:eastAsia="zh-CN"/>
            </w:rPr>
            <w:t>实验简介</w:t>
          </w:r>
          <w:r>
            <w:tab/>
          </w:r>
          <w:r>
            <w:fldChar w:fldCharType="begin"/>
          </w:r>
          <w:r>
            <w:instrText xml:space="preserve"> PAGEREF _Toc10364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_Toc18038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eastAsiaTheme="minorEastAsia"/>
              <w:szCs w:val="28"/>
            </w:rPr>
            <w:t>三、 实验仪器</w:t>
          </w:r>
          <w:r>
            <w:tab/>
          </w:r>
          <w:r>
            <w:fldChar w:fldCharType="begin"/>
          </w:r>
          <w:r>
            <w:instrText xml:space="preserve"> PAGEREF _Toc18038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_Toc29884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>四、 实验步骤</w:t>
          </w:r>
          <w:r>
            <w:tab/>
          </w:r>
          <w:r>
            <w:fldChar w:fldCharType="begin"/>
          </w:r>
          <w:r>
            <w:instrText xml:space="preserve"> PAGEREF _Toc29884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_Toc31128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 xml:space="preserve">五、 </w:t>
          </w:r>
          <w:r>
            <w:rPr>
              <w:rFonts w:hint="default" w:eastAsiaTheme="minorEastAsia"/>
              <w:szCs w:val="28"/>
              <w:lang w:val="en-US" w:eastAsia="zh-CN"/>
            </w:rPr>
            <w:t>图像采集</w:t>
          </w:r>
          <w:r>
            <w:tab/>
          </w:r>
          <w:r>
            <w:fldChar w:fldCharType="begin"/>
          </w:r>
          <w:r>
            <w:instrText xml:space="preserve"> PAGEREF _Toc31128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  <w:rPr>
              <w:sz w:val="24"/>
              <w:szCs w:val="24"/>
            </w:rPr>
          </w:pPr>
          <w:r>
            <w:rPr>
              <w:bCs/>
              <w:szCs w:val="24"/>
              <w:lang w:val="zh-CN"/>
            </w:rPr>
            <w:fldChar w:fldCharType="end"/>
          </w: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pageBreakBefore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5" w:name="_Toc67067673"/>
      <w:bookmarkStart w:id="6" w:name="_Toc11400"/>
      <w:bookmarkStart w:id="7" w:name="_Toc509220866"/>
      <w:bookmarkStart w:id="8" w:name="_Toc67061766"/>
      <w:bookmarkStart w:id="9" w:name="_Toc40709121"/>
      <w:bookmarkStart w:id="10" w:name="_Toc85906420"/>
      <w:bookmarkStart w:id="11" w:name="_Toc149670078"/>
      <w:bookmarkStart w:id="12" w:name="_Toc54712428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样本信息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3" w:name="_Toc10364"/>
      <w:bookmarkStart w:id="14" w:name="_Toc85906421"/>
      <w:bookmarkStart w:id="15" w:name="_Toc149670079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实验简介</w:t>
      </w:r>
      <w:bookmarkEnd w:id="1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Ascii" w:hAnsiTheme="minorEastAsia" w:cstheme="minorEastAsia"/>
          <w:b w:val="0"/>
          <w:bCs/>
          <w:sz w:val="24"/>
          <w:szCs w:val="24"/>
          <w:highlight w:val="none"/>
          <w:lang w:val="en-US" w:eastAsia="zh-CN"/>
        </w:rPr>
      </w:pPr>
      <w:r>
        <w:rPr>
          <w:rFonts w:hint="eastAsia" w:asciiTheme="minorAscii" w:hAnsiTheme="minorEastAsia" w:cstheme="minorEastAsia"/>
          <w:b w:val="0"/>
          <w:bCs/>
          <w:sz w:val="24"/>
          <w:szCs w:val="24"/>
          <w:highlight w:val="none"/>
          <w:lang w:val="en-US" w:eastAsia="zh-CN"/>
        </w:rPr>
        <w:t>在酸性条件下，切片内的高铁盐与亚铁氰化钾作用生成亚铁氰化铁（普鲁士蓝反应）。</w:t>
      </w: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6" w:name="_Toc18038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height:93.75pt;width:7.15pt;mso-position-horizontal:center;mso-position-horizontal-relative:margin;mso-position-vertical:center;mso-position-vertical-relative:margin;z-index:251668480;mso-width-relative:page;mso-height-relative:page;" filled="f" stroked="f" coordsize="21600,21600" o:allowincell="f" o:gfxdata="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ZA5ZfSAAAA&#10;BAEAAA8AAAAAAAAAAQAgAAAAIgAAAGRycy9kb3ducmV2LnhtbFBLAQIUABQAAAAIAIdO4kD8dFff&#10;IwIAADkEAAAOAAAAAAAAAAEAIAAAACEBAABkcnMvZTJvRG9jLnhtbFBLBQYAAAAABgAGAFkBAAC2&#10;BQAAAAA=&#10;" adj="1800,10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实验仪器</w:t>
      </w:r>
      <w:bookmarkEnd w:id="14"/>
      <w:bookmarkEnd w:id="15"/>
      <w:bookmarkEnd w:id="16"/>
    </w:p>
    <w:tbl>
      <w:tblPr>
        <w:tblStyle w:val="59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组织脱水机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JT-12S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石蜡包埋机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病理切片机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上海徕卡仪器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RM2016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冻台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17" w:name="_Toc85906423"/>
            <w:bookmarkStart w:id="18" w:name="_Toc149670081"/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组织摊片机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JK-5/6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烤箱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绍兴泸越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101-3B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正置光学显微镜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Leica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DM500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数字切片扫描仪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3D-HISTECH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Pannoramic MIDI II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9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无水乙醇（AR）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05.001.0170A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二甲苯（AR）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05.001.0586A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普鲁士蓝染液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武汉赛维尔生物科技有限公司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G1029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中性树胶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上海懿洋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YSQN41-91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正丁醇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05.001.0886A</w:t>
            </w:r>
          </w:p>
        </w:tc>
      </w:tr>
    </w:tbl>
    <w:p>
      <w:pPr>
        <w:spacing w:after="50" w:line="360" w:lineRule="auto"/>
        <w:jc w:val="center"/>
        <w:rPr>
          <w:rFonts w:hint="default" w:ascii="Times New Roman" w:hAnsi="Times New Roman" w:eastAsia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59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9"/>
        <w:gridCol w:w="2556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556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粘附性载玻片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80312/80302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显微镜盖玻片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80340-1630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组织包埋盒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22022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病理刀片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epredia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MX35 ULTRA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9" w:name="_Toc29884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实验步骤</w:t>
      </w:r>
      <w:bookmarkEnd w:id="1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0" w:name="_Toc7600"/>
      <w:bookmarkStart w:id="21" w:name="_Toc22586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.1组织固定。新鲜组织用固定液固定24h以上。将组织修平整，放于脱水盒内。</w:t>
      </w:r>
      <w:bookmarkEnd w:id="20"/>
      <w:bookmarkEnd w:id="2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2" w:name="_Toc3581"/>
      <w:bookmarkStart w:id="23" w:name="_Toc2361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.2组织脱水。将脱水盒放进组织脱水机依次脱水，75%酒精4h，85%酒精2h，90%酒精2h，95%酒精1h，无水乙醇I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30min，无水乙醇II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30min，醇苯5-10min，二甲苯I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10min，二甲苯II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10min，蜡I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1h，蜡II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1h，蜡III 1h。</w:t>
      </w:r>
      <w:bookmarkEnd w:id="22"/>
      <w:bookmarkEnd w:id="2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4" w:name="_Toc2669"/>
      <w:bookmarkStart w:id="25" w:name="_Toc3015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.3组织包埋。将浸好蜡的组织于包埋机内进行包埋，贴上标签。</w:t>
      </w:r>
      <w:bookmarkEnd w:id="24"/>
      <w:bookmarkEnd w:id="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6" w:name="_Toc16547"/>
      <w:bookmarkStart w:id="27" w:name="_Toc25041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.4石蜡切片。使用石蜡切片机切片，厚3μm。切片在摊片机40℃温水展平，烘箱60℃烤片。</w:t>
      </w:r>
      <w:bookmarkEnd w:id="26"/>
      <w:bookmarkEnd w:id="2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8" w:name="_Toc32520"/>
      <w:bookmarkStart w:id="29" w:name="_Toc1981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.5脱蜡至水。将切片依次放入二甲苯Ⅰ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min，二甲苯Ⅱ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min，二甲苯Ⅲ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min，无水乙醇Ⅰ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5min，无水乙醇Ⅱ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5min，95%酒精5min，85%酒精5min，75%酒精5min，纯水5min。</w:t>
      </w:r>
      <w:bookmarkEnd w:id="28"/>
      <w:bookmarkEnd w:id="2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0" w:name="_Toc24592"/>
      <w:bookmarkStart w:id="31" w:name="_Toc1718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.6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工作液配置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。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将普鲁士蓝染液A与普鲁士蓝染液B等体积混合。临用前配制，现配现用。</w:t>
      </w:r>
      <w:bookmarkEnd w:id="30"/>
      <w:bookmarkEnd w:id="3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2" w:name="_Toc20316"/>
      <w:bookmarkStart w:id="33" w:name="_Toc3806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.7普鲁士蓝染色。滴加普鲁士蓝染色工作液完全覆盖组织，室温染色1h。倾去染液，切片入纯水浸洗3次。</w:t>
      </w:r>
      <w:bookmarkEnd w:id="32"/>
      <w:bookmarkEnd w:id="3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4" w:name="_Toc22772"/>
      <w:bookmarkStart w:id="35" w:name="_Toc24084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.8核固红染色。滴加普鲁士蓝染液C覆盖组织，室温染色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min，自来水洗至切片流水呈无色即可。</w:t>
      </w:r>
      <w:bookmarkEnd w:id="34"/>
      <w:bookmarkEnd w:id="3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6" w:name="_Toc25744"/>
      <w:bookmarkStart w:id="37" w:name="_Toc21154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.9脱水封片。切片依次入三缸无水乙醇脱水，每次5min；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正丁醇脱水5min；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经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三缸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二甲苯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各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透明5min，然后中性树胶封片。</w:t>
      </w:r>
      <w:bookmarkEnd w:id="36"/>
      <w:bookmarkEnd w:id="3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8" w:name="_Toc2938"/>
      <w:bookmarkStart w:id="39" w:name="_Toc4704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10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镜检。</w:t>
      </w:r>
      <w:bookmarkEnd w:id="38"/>
      <w:bookmarkEnd w:id="39"/>
    </w:p>
    <w:p>
      <w:pP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40" w:name="_Toc31128"/>
      <w:r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图像采集</w:t>
      </w:r>
      <w:bookmarkEnd w:id="40"/>
    </w:p>
    <w:bookmarkEnd w:id="17"/>
    <w:bookmarkEnd w:id="18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41" w:name="_Toc5286"/>
      <w:bookmarkStart w:id="42" w:name="_Toc862"/>
      <w:bookmarkStart w:id="43" w:name="_Toc15269"/>
      <w:bookmarkStart w:id="44" w:name="_Toc8504"/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采用数字切片扫描仪/显微镜进行图像采集。</w:t>
      </w:r>
      <w:bookmarkEnd w:id="41"/>
      <w:bookmarkEnd w:id="42"/>
      <w:bookmarkEnd w:id="43"/>
      <w:bookmarkEnd w:id="4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微软雅黑"/>
          <w:sz w:val="24"/>
          <w:szCs w:val="24"/>
          <w:highlight w:val="none"/>
          <w:lang w:val="en-US" w:eastAsia="zh-CN"/>
        </w:rPr>
      </w:pPr>
      <w:bookmarkStart w:id="45" w:name="_Toc15585"/>
      <w:bookmarkStart w:id="46" w:name="_Toc10573"/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经染色后，组织细胞内三价铁或含铁血黄素呈蓝色，细胞核呈红色。</w:t>
      </w:r>
      <w:bookmarkEnd w:id="45"/>
      <w:bookmarkEnd w:id="46"/>
    </w:p>
    <w:tbl>
      <w:tblPr>
        <w:tblStyle w:val="16"/>
        <w:tblW w:w="5000" w:type="pct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68"/>
        <w:gridCol w:w="4768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500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2866390" cy="1911350"/>
                  <wp:effectExtent l="0" t="0" r="10160" b="12700"/>
                  <wp:docPr id="5" name="图片 5" descr="赛维尔 普鲁士蓝 100x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赛维尔 普鲁士蓝 100x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390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2866390" cy="1911350"/>
                  <wp:effectExtent l="0" t="0" r="10160" b="12700"/>
                  <wp:docPr id="7" name="图片 7" descr="赛维尔 普鲁士蓝 200x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赛维尔 普鲁士蓝 200x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390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500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脾1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x</w:t>
            </w:r>
          </w:p>
        </w:tc>
        <w:tc>
          <w:tcPr>
            <w:tcW w:w="2500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脾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x</w:t>
            </w:r>
          </w:p>
        </w:tc>
      </w:tr>
    </w:tbl>
    <w:p>
      <w:pPr>
        <w:spacing w:after="120" w:afterLines="50" w:line="360" w:lineRule="auto"/>
        <w:ind w:firstLine="482" w:firstLineChars="200"/>
        <w:rPr>
          <w:rFonts w:hint="eastAsia" w:ascii="Times New Roman" w:hAnsi="Times New Roman" w:eastAsiaTheme="minorEastAsia"/>
          <w:b/>
          <w:bCs/>
          <w:sz w:val="24"/>
          <w:szCs w:val="24"/>
          <w:lang w:val="en-US" w:eastAsia="zh-CN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7456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3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1D27009"/>
    <w:rsid w:val="027A77C1"/>
    <w:rsid w:val="028F06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B74313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C170BC1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12756E"/>
    <w:rsid w:val="108F368D"/>
    <w:rsid w:val="109951E3"/>
    <w:rsid w:val="120C61ED"/>
    <w:rsid w:val="13001549"/>
    <w:rsid w:val="13136145"/>
    <w:rsid w:val="135F33F5"/>
    <w:rsid w:val="13E40E6B"/>
    <w:rsid w:val="13EF07C3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8BE4823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344F6B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12394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5214A0"/>
    <w:rsid w:val="2B6A3B8F"/>
    <w:rsid w:val="2B9B40AD"/>
    <w:rsid w:val="2CE662A4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224607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622AC7"/>
    <w:rsid w:val="367A7D64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04DD8"/>
    <w:rsid w:val="41A75102"/>
    <w:rsid w:val="41EA6017"/>
    <w:rsid w:val="42107BEE"/>
    <w:rsid w:val="421C381E"/>
    <w:rsid w:val="426C1B24"/>
    <w:rsid w:val="42A51C96"/>
    <w:rsid w:val="43943464"/>
    <w:rsid w:val="43FF39E1"/>
    <w:rsid w:val="44113B1C"/>
    <w:rsid w:val="444B012A"/>
    <w:rsid w:val="448C6831"/>
    <w:rsid w:val="4597370E"/>
    <w:rsid w:val="463333B8"/>
    <w:rsid w:val="46ED75D1"/>
    <w:rsid w:val="47024B89"/>
    <w:rsid w:val="47804A75"/>
    <w:rsid w:val="47806610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D3C70C3"/>
    <w:rsid w:val="4D7549E6"/>
    <w:rsid w:val="4D837BA7"/>
    <w:rsid w:val="4DC42B98"/>
    <w:rsid w:val="4DC909D0"/>
    <w:rsid w:val="4EB8735F"/>
    <w:rsid w:val="4EF83B47"/>
    <w:rsid w:val="4F6457CE"/>
    <w:rsid w:val="4FAF27B1"/>
    <w:rsid w:val="4FD82DAE"/>
    <w:rsid w:val="4FFA6B7D"/>
    <w:rsid w:val="501D3E00"/>
    <w:rsid w:val="503F0BFC"/>
    <w:rsid w:val="509B71DF"/>
    <w:rsid w:val="51002139"/>
    <w:rsid w:val="51B07591"/>
    <w:rsid w:val="51E056AD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6623148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259C8"/>
    <w:rsid w:val="76685F07"/>
    <w:rsid w:val="76996EEE"/>
    <w:rsid w:val="76B15747"/>
    <w:rsid w:val="773F40B1"/>
    <w:rsid w:val="7814095E"/>
    <w:rsid w:val="79740900"/>
    <w:rsid w:val="797F45E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3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4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5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7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8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9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Normal (Web)"/>
    <w:basedOn w:val="1"/>
    <w:semiHidden/>
    <w:unhideWhenUsed/>
    <w:qFormat/>
    <w:lock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4">
    <w:name w:val="Title"/>
    <w:basedOn w:val="1"/>
    <w:next w:val="1"/>
    <w:link w:val="30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5">
    <w:name w:val="Body Text First Indent"/>
    <w:basedOn w:val="5"/>
    <w:link w:val="26"/>
    <w:qFormat/>
    <w:uiPriority w:val="99"/>
    <w:pPr>
      <w:spacing w:after="0"/>
      <w:ind w:firstLine="498"/>
    </w:pPr>
  </w:style>
  <w:style w:type="table" w:styleId="17">
    <w:name w:val="Table Grid"/>
    <w:basedOn w:val="16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0"/>
    <w:rPr>
      <w:b/>
      <w:bCs/>
    </w:rPr>
  </w:style>
  <w:style w:type="character" w:styleId="20">
    <w:name w:val="Emphasis"/>
    <w:qFormat/>
    <w:uiPriority w:val="99"/>
    <w:rPr>
      <w:rFonts w:cs="Times New Roman"/>
      <w:color w:val="CC0000"/>
    </w:rPr>
  </w:style>
  <w:style w:type="character" w:styleId="21">
    <w:name w:val="Hyperlink"/>
    <w:basedOn w:val="18"/>
    <w:qFormat/>
    <w:uiPriority w:val="99"/>
    <w:rPr>
      <w:rFonts w:cs="Times New Roman"/>
      <w:color w:val="0563C1"/>
      <w:u w:val="single"/>
    </w:rPr>
  </w:style>
  <w:style w:type="character" w:customStyle="1" w:styleId="22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3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4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5">
    <w:name w:val="正文文本 字符"/>
    <w:basedOn w:val="18"/>
    <w:link w:val="5"/>
    <w:qFormat/>
    <w:locked/>
    <w:uiPriority w:val="99"/>
  </w:style>
  <w:style w:type="character" w:customStyle="1" w:styleId="26">
    <w:name w:val="正文文本首行缩进 字符"/>
    <w:link w:val="15"/>
    <w:qFormat/>
    <w:locked/>
    <w:uiPriority w:val="99"/>
    <w:rPr>
      <w:rFonts w:cs="Times New Roman"/>
    </w:rPr>
  </w:style>
  <w:style w:type="character" w:customStyle="1" w:styleId="27">
    <w:name w:val="批注框文本 字符"/>
    <w:link w:val="7"/>
    <w:qFormat/>
    <w:locked/>
    <w:uiPriority w:val="99"/>
    <w:rPr>
      <w:sz w:val="18"/>
    </w:rPr>
  </w:style>
  <w:style w:type="character" w:customStyle="1" w:styleId="28">
    <w:name w:val="页脚 字符"/>
    <w:link w:val="8"/>
    <w:qFormat/>
    <w:locked/>
    <w:uiPriority w:val="99"/>
    <w:rPr>
      <w:sz w:val="18"/>
    </w:rPr>
  </w:style>
  <w:style w:type="character" w:customStyle="1" w:styleId="29">
    <w:name w:val="页眉 字符"/>
    <w:link w:val="9"/>
    <w:qFormat/>
    <w:locked/>
    <w:uiPriority w:val="99"/>
    <w:rPr>
      <w:sz w:val="18"/>
    </w:rPr>
  </w:style>
  <w:style w:type="character" w:customStyle="1" w:styleId="30">
    <w:name w:val="标题 字符"/>
    <w:link w:val="14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1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2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3">
    <w:name w:val="样式1"/>
    <w:basedOn w:val="31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4">
    <w:name w:val="TOC 标题1"/>
    <w:basedOn w:val="33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5">
    <w:name w:val="样式2"/>
    <w:basedOn w:val="33"/>
    <w:qFormat/>
    <w:uiPriority w:val="99"/>
    <w:pPr>
      <w:ind w:hanging="360"/>
    </w:pPr>
  </w:style>
  <w:style w:type="paragraph" w:customStyle="1" w:styleId="36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9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40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1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2">
    <w:name w:val="列出段落 Char"/>
    <w:qFormat/>
    <w:uiPriority w:val="99"/>
  </w:style>
  <w:style w:type="character" w:customStyle="1" w:styleId="43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4">
    <w:name w:val="样式2 Char"/>
    <w:qFormat/>
    <w:uiPriority w:val="99"/>
    <w:rPr>
      <w:b/>
      <w:sz w:val="44"/>
    </w:rPr>
  </w:style>
  <w:style w:type="character" w:customStyle="1" w:styleId="45">
    <w:name w:val="Body Text First Indent Char1"/>
    <w:qFormat/>
    <w:uiPriority w:val="99"/>
    <w:rPr>
      <w:sz w:val="24"/>
    </w:rPr>
  </w:style>
  <w:style w:type="character" w:customStyle="1" w:styleId="46">
    <w:name w:val="apple-converted-space"/>
    <w:qFormat/>
    <w:uiPriority w:val="99"/>
  </w:style>
  <w:style w:type="character" w:customStyle="1" w:styleId="47">
    <w:name w:val="论文正文1 Char"/>
    <w:qFormat/>
    <w:uiPriority w:val="99"/>
    <w:rPr>
      <w:sz w:val="24"/>
    </w:rPr>
  </w:style>
  <w:style w:type="paragraph" w:customStyle="1" w:styleId="48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9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1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2">
    <w:name w:val="short_text"/>
    <w:qFormat/>
    <w:uiPriority w:val="0"/>
  </w:style>
  <w:style w:type="character" w:customStyle="1" w:styleId="53">
    <w:name w:val="明显强调1"/>
    <w:basedOn w:val="18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4">
    <w:name w:val="不明显强调1"/>
    <w:basedOn w:val="18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5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6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7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8">
    <w:name w:val="网格型浅色1"/>
    <w:basedOn w:val="1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9">
    <w:name w:val="网格表 6 彩色 - 着色 51"/>
    <w:basedOn w:val="16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60">
    <w:name w:val="明显强调11"/>
    <w:basedOn w:val="18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1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2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3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4">
    <w:name w:val="无"/>
    <w:qFormat/>
    <w:uiPriority w:val="0"/>
  </w:style>
  <w:style w:type="paragraph" w:customStyle="1" w:styleId="65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2299</Words>
  <Characters>2600</Characters>
  <Lines>29</Lines>
  <Paragraphs>8</Paragraphs>
  <TotalTime>0</TotalTime>
  <ScaleCrop>false</ScaleCrop>
  <LinksUpToDate>false</LinksUpToDate>
  <CharactersWithSpaces>2655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2024-07-10T09:19:06Z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12D6E448736744E3A8666E1456AF6673_13</vt:lpwstr>
  </property>
</Properties>
</file>