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免疫组化三步法-石蜡</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免疫组化三步法-石蜡</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36" w:name="_GoBack"/>
      <w:bookmarkEnd w:id="36"/>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253391"/>
      <w:bookmarkStart w:id="1" w:name="_Toc3116"/>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highlight w:val="none"/>
          <w:lang w:eastAsia="zh-CN"/>
        </w:rPr>
      </w:pPr>
      <w:bookmarkStart w:id="3" w:name="_Toc26157"/>
      <w:bookmarkStart w:id="4" w:name="_Toc25956"/>
      <w:r>
        <w:rPr>
          <w:rFonts w:hint="default" w:ascii="Times New Roman" w:hAnsi="Times New Roman" w:eastAsia="宋体" w:cs="Times New Roman"/>
          <w:b/>
          <w:bCs/>
          <w:color w:val="000000"/>
          <w:sz w:val="28"/>
          <w:highlight w:val="none"/>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highlight w:val="none"/>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highlight w:val="none"/>
          <w:lang w:eastAsia="zh-CN"/>
        </w:rPr>
      </w:pPr>
      <w:bookmarkStart w:id="5" w:name="_Toc15420"/>
      <w:r>
        <w:rPr>
          <w:rFonts w:hint="default" w:ascii="Times New Roman" w:hAnsi="Times New Roman" w:eastAsia="宋体" w:cs="Times New Roman"/>
          <w:bCs/>
          <w:color w:val="000000"/>
          <w:sz w:val="24"/>
          <w:szCs w:val="24"/>
          <w:highlight w:val="none"/>
          <w:lang w:eastAsia="zh-CN"/>
        </w:rPr>
        <w:t>一、本报告未加盖本公司公章无效。</w:t>
      </w:r>
      <w:bookmarkEnd w:id="5"/>
      <w:r>
        <w:rPr>
          <w:rFonts w:hint="default" w:ascii="Times New Roman" w:hAnsi="Times New Roman" w:eastAsia="宋体" w:cs="Times New Roman"/>
          <w:bCs/>
          <w:color w:val="000000"/>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二、报告</w:t>
      </w:r>
      <w:r>
        <w:rPr>
          <w:rFonts w:hint="default" w:ascii="Times New Roman" w:hAnsi="Times New Roman" w:eastAsia="宋体" w:cs="Times New Roman"/>
          <w:bCs/>
          <w:color w:val="000000"/>
          <w:sz w:val="24"/>
          <w:szCs w:val="24"/>
          <w:highlight w:val="none"/>
          <w:lang w:val="en-US" w:eastAsia="zh-CN"/>
        </w:rPr>
        <w:t>齐</w:t>
      </w:r>
      <w:r>
        <w:rPr>
          <w:rFonts w:hint="default" w:ascii="Times New Roman" w:hAnsi="Times New Roman" w:eastAsia="宋体" w:cs="Times New Roman"/>
          <w:bCs/>
          <w:color w:val="000000"/>
          <w:sz w:val="24"/>
          <w:szCs w:val="24"/>
          <w:highlight w:val="none"/>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四、本报告涂改</w:t>
      </w:r>
      <w:r>
        <w:rPr>
          <w:rFonts w:hint="default" w:ascii="Times New Roman" w:hAnsi="Times New Roman" w:eastAsia="宋体" w:cs="Times New Roman"/>
          <w:bCs/>
          <w:sz w:val="24"/>
          <w:szCs w:val="24"/>
          <w:highlight w:val="none"/>
          <w:lang w:eastAsia="zh-CN"/>
        </w:rPr>
        <w:t>或缺页</w:t>
      </w:r>
      <w:r>
        <w:rPr>
          <w:rFonts w:hint="default" w:ascii="Times New Roman" w:hAnsi="Times New Roman" w:eastAsia="宋体" w:cs="Times New Roman"/>
          <w:bCs/>
          <w:color w:val="000000"/>
          <w:sz w:val="24"/>
          <w:szCs w:val="24"/>
          <w:highlight w:val="none"/>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检验机构：成都</w:t>
      </w:r>
      <w:r>
        <w:rPr>
          <w:rFonts w:hint="default" w:ascii="Times New Roman" w:hAnsi="Times New Roman" w:eastAsia="宋体" w:cs="Times New Roman"/>
          <w:bCs/>
          <w:color w:val="000000"/>
          <w:sz w:val="24"/>
          <w:szCs w:val="24"/>
          <w:highlight w:val="none"/>
          <w:lang w:val="en-US" w:eastAsia="zh-CN"/>
        </w:rPr>
        <w:t>奥创</w:t>
      </w:r>
      <w:r>
        <w:rPr>
          <w:rFonts w:hint="default" w:ascii="Times New Roman" w:hAnsi="Times New Roman" w:eastAsia="宋体" w:cs="Times New Roman"/>
          <w:bCs/>
          <w:color w:val="000000"/>
          <w:sz w:val="24"/>
          <w:szCs w:val="24"/>
          <w:highlight w:val="none"/>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pP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bCs/>
                  <w:szCs w:val="24"/>
                  <w:lang w:val="zh-CN"/>
                </w:rPr>
                <w:fldChar w:fldCharType="begin"/>
              </w:r>
              <w:r>
                <w:rPr>
                  <w:bCs/>
                  <w:szCs w:val="24"/>
                  <w:lang w:val="zh-CN"/>
                </w:rPr>
                <w:instrText xml:space="preserve"> HYPERLINK \l _Toc26288 </w:instrText>
              </w:r>
              <w:r>
                <w:rPr>
                  <w:bCs/>
                  <w:szCs w:val="24"/>
                  <w:lang w:val="zh-CN"/>
                </w:rPr>
                <w:fldChar w:fldCharType="separate"/>
              </w:r>
              <w:r>
                <w:rPr>
                  <w:rFonts w:hint="eastAsia" w:ascii="Times New Roman" w:hAnsi="Times New Roman" w:cs="Times New Roman" w:eastAsiaTheme="minorEastAsia"/>
                  <w:szCs w:val="28"/>
                  <w:lang w:val="en-US" w:eastAsia="zh-CN"/>
                </w:rPr>
                <w:t>一、 样本信息</w:t>
              </w:r>
              <w:r>
                <w:tab/>
              </w:r>
              <w:r>
                <w:fldChar w:fldCharType="begin"/>
              </w:r>
              <w:r>
                <w:instrText xml:space="preserve"> PAGEREF _Toc26288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_Toc12982 </w:instrText>
              </w:r>
              <w:r>
                <w:rPr>
                  <w:bCs/>
                  <w:szCs w:val="24"/>
                  <w:lang w:val="zh-CN"/>
                </w:rPr>
                <w:fldChar w:fldCharType="separate"/>
              </w:r>
              <w:r>
                <w:rPr>
                  <w:rFonts w:hint="default" w:ascii="Times New Roman" w:hAnsi="Times New Roman" w:cs="Times New Roman" w:eastAsiaTheme="minorEastAsia"/>
                  <w:szCs w:val="28"/>
                  <w:lang w:val="en-US" w:eastAsia="zh-CN"/>
                </w:rPr>
                <w:t>二、 实验简介</w:t>
              </w:r>
              <w:r>
                <w:tab/>
              </w:r>
              <w:r>
                <w:fldChar w:fldCharType="begin"/>
              </w:r>
              <w:r>
                <w:instrText xml:space="preserve"> PAGEREF _Toc12982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_Toc22486 </w:instrText>
              </w:r>
              <w:r>
                <w:rPr>
                  <w:bCs/>
                  <w:szCs w:val="24"/>
                  <w:lang w:val="zh-CN"/>
                </w:rPr>
                <w:fldChar w:fldCharType="separate"/>
              </w:r>
              <w:r>
                <w:rPr>
                  <w:rFonts w:hint="default" w:ascii="Times New Roman" w:hAnsi="Times New Roman" w:cs="Times New Roman" w:eastAsiaTheme="minorEastAsia"/>
                  <w:szCs w:val="28"/>
                  <w:lang w:val="en-US" w:eastAsia="zh-CN"/>
                </w:rPr>
                <w:t>三、 实验仪器、试剂耗材</w:t>
              </w:r>
              <w:r>
                <w:tab/>
              </w:r>
              <w:r>
                <w:fldChar w:fldCharType="begin"/>
              </w:r>
              <w:r>
                <w:instrText xml:space="preserve"> PAGEREF _Toc22486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_Toc1823 </w:instrText>
              </w:r>
              <w:r>
                <w:rPr>
                  <w:bCs/>
                  <w:szCs w:val="24"/>
                  <w:lang w:val="zh-CN"/>
                </w:rPr>
                <w:fldChar w:fldCharType="separate"/>
              </w:r>
              <w:r>
                <w:rPr>
                  <w:rFonts w:hint="default" w:ascii="Times New Roman" w:hAnsi="Times New Roman" w:cs="Times New Roman" w:eastAsiaTheme="minorEastAsia"/>
                  <w:szCs w:val="28"/>
                  <w:lang w:val="en-US" w:eastAsia="zh-CN"/>
                </w:rPr>
                <w:t>四、 实验步骤</w:t>
              </w:r>
              <w:r>
                <w:tab/>
              </w:r>
              <w:r>
                <w:fldChar w:fldCharType="begin"/>
              </w:r>
              <w:r>
                <w:instrText xml:space="preserve"> PAGEREF _Toc1823 \h </w:instrText>
              </w:r>
              <w:r>
                <w:fldChar w:fldCharType="separate"/>
              </w:r>
              <w:r>
                <w:t>9</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_Toc28051 </w:instrText>
              </w:r>
              <w:r>
                <w:rPr>
                  <w:bCs/>
                  <w:szCs w:val="24"/>
                  <w:lang w:val="zh-CN"/>
                </w:rPr>
                <w:fldChar w:fldCharType="separate"/>
              </w:r>
              <w:r>
                <w:rPr>
                  <w:rFonts w:hint="default" w:ascii="Times New Roman" w:hAnsi="Times New Roman" w:cs="Times New Roman" w:eastAsiaTheme="minorEastAsia"/>
                  <w:szCs w:val="28"/>
                  <w:lang w:val="en-US" w:eastAsia="zh-CN"/>
                </w:rPr>
                <w:t xml:space="preserve">五、 </w:t>
              </w:r>
              <w:r>
                <w:rPr>
                  <w:rFonts w:hint="eastAsia" w:ascii="Times New Roman" w:hAnsi="Times New Roman" w:cs="Times New Roman" w:eastAsiaTheme="minorEastAsia"/>
                  <w:szCs w:val="28"/>
                  <w:lang w:val="en-US" w:eastAsia="zh-CN"/>
                </w:rPr>
                <w:t>染色结果</w:t>
              </w:r>
              <w:r>
                <w:tab/>
              </w:r>
              <w:r>
                <w:fldChar w:fldCharType="begin"/>
              </w:r>
              <w:r>
                <w:instrText xml:space="preserve"> PAGEREF _Toc28051 \h </w:instrText>
              </w:r>
              <w:r>
                <w:fldChar w:fldCharType="separate"/>
              </w:r>
              <w:r>
                <w:t>10</w:t>
              </w:r>
              <w:r>
                <w:fldChar w:fldCharType="end"/>
              </w:r>
              <w:r>
                <w:rPr>
                  <w:bCs/>
                  <w:szCs w:val="24"/>
                  <w:lang w:val="zh-CN"/>
                </w:rPr>
                <w:fldChar w:fldCharType="end"/>
              </w:r>
            </w:p>
            <w:p>
              <w:pPr>
                <w:rPr>
                  <w:sz w:val="24"/>
                  <w:szCs w:val="24"/>
                </w:rPr>
              </w:pPr>
              <w:r>
                <w:rPr>
                  <w:bCs/>
                  <w:szCs w:val="24"/>
                  <w:lang w:val="zh-CN"/>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 w:name="_Toc85906420"/>
      <w:bookmarkStart w:id="7" w:name="_Toc40709121"/>
      <w:bookmarkStart w:id="8" w:name="_Toc54712428"/>
      <w:bookmarkStart w:id="9" w:name="_Toc26288"/>
      <w:bookmarkStart w:id="10" w:name="_Toc67061766"/>
      <w:bookmarkStart w:id="11" w:name="_Toc509220866"/>
      <w:bookmarkStart w:id="12" w:name="_Toc149670078"/>
      <w:bookmarkStart w:id="13" w:name="_Toc67067673"/>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5015"/>
      <w:bookmarkStart w:id="15" w:name="_Toc1298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14"/>
      <w:bookmarkEnd w:id="1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16" w:name="_Toc3757"/>
      <w:r>
        <w:rPr>
          <w:rFonts w:hint="eastAsia" w:ascii="Times New Roman" w:hAnsi="Times New Roman" w:cs="Times New Roman" w:eastAsiaTheme="minorEastAsia"/>
          <w:kern w:val="1"/>
          <w:sz w:val="24"/>
          <w:szCs w:val="24"/>
          <w:lang w:val="en-US" w:eastAsia="zh-CN" w:bidi="ar-SA"/>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7" w:name="_Toc22486"/>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16"/>
      <w:bookmarkEnd w:id="1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18" w:name="_Toc8717"/>
      <w:bookmarkStart w:id="19" w:name="_Toc271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18"/>
      <w:bookmarkEnd w:id="19"/>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仪器名称</w:t>
            </w:r>
          </w:p>
        </w:tc>
        <w:tc>
          <w:tcPr>
            <w:tcW w:w="2003" w:type="pct"/>
            <w:tcBorders>
              <w:left w:val="nil"/>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品牌</w:t>
            </w:r>
          </w:p>
        </w:tc>
        <w:tc>
          <w:tcPr>
            <w:tcW w:w="1560" w:type="pct"/>
            <w:tcBorders>
              <w:left w:val="nil"/>
              <w:bottom w:val="single" w:color="000000"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型号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single" w:color="000000" w:sz="8"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组织脱水机</w:t>
            </w:r>
          </w:p>
        </w:tc>
        <w:tc>
          <w:tcPr>
            <w:tcW w:w="2003" w:type="pct"/>
            <w:tcBorders>
              <w:top w:val="single" w:color="000000" w:sz="8" w:space="0"/>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single" w:color="000000" w:sz="8" w:space="0"/>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JT-12S</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石蜡包埋机</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病理切片机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上海徕卡仪器</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RM2016</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冻台</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组织摊片机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JK-5/6</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烤箱</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绍兴泸越</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101-3B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0" w:name="_Toc10658"/>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微波炉</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格兰仕微波炉电器有限公司</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P70D20TL-P4</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003" w:type="pct"/>
            <w:tcBorders>
              <w:top w:val="nil"/>
              <w:left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广州市明美光电技术有限公司</w:t>
            </w:r>
          </w:p>
        </w:tc>
        <w:tc>
          <w:tcPr>
            <w:tcW w:w="1560" w:type="pct"/>
            <w:tcBorders>
              <w:top w:val="nil"/>
              <w:lef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1" w:name="_Toc2229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20"/>
      <w:bookmarkEnd w:id="21"/>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OCT包埋剂</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达科为</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CT520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2" w:name="_Toc17607"/>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二甲苯（AR）</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EDTA（PH8.0)抗原修复液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BL618A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EDTA(PH9.0)抗原修复液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BL617A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柠檬酸（PH6.0)抗原修复液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BL604A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胰蛋白酶修复5X</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bioss</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C-0012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DAPI</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BS097-10mg</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自发荧光淬灭剂B液</w:t>
            </w:r>
          </w:p>
        </w:tc>
        <w:tc>
          <w:tcPr>
            <w:tcW w:w="2000" w:type="pct"/>
            <w:tcBorders>
              <w:top w:val="nil"/>
              <w:left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3" w:name="_Toc31642"/>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2"/>
      <w:bookmarkEnd w:id="23"/>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single" w:color="000000" w:themeColor="text1" w:sz="8"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tcBorders>
              <w:top w:val="single" w:color="000000" w:themeColor="text1" w:sz="8" w:space="0"/>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single" w:color="000000" w:themeColor="text1" w:sz="8" w:space="0"/>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tcBorders>
              <w:top w:val="nil"/>
              <w:left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病理刀片</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epredia</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MX35 ULTRA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组织包埋盒</w:t>
            </w:r>
          </w:p>
        </w:tc>
        <w:tc>
          <w:tcPr>
            <w:tcW w:w="2000" w:type="pct"/>
            <w:tcBorders>
              <w:top w:val="nil"/>
              <w:left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22022</w:t>
            </w: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4" w:name="_Toc1823"/>
      <w:bookmarkStart w:id="25" w:name="_Toc14512"/>
      <w:bookmarkStart w:id="26" w:name="_Toc6790"/>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24"/>
      <w:bookmarkEnd w:id="25"/>
      <w:bookmarkEnd w:id="26"/>
      <w:bookmarkStart w:id="27" w:name="_Toc17182"/>
      <w:bookmarkStart w:id="28" w:name="_Toc27275"/>
      <w:bookmarkStart w:id="29" w:name="_Toc8714"/>
      <w:bookmarkStart w:id="30" w:name="_Toc9168"/>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4.1石蜡切片脱蜡至水</w:t>
      </w:r>
      <w:bookmarkEnd w:id="27"/>
      <w:r>
        <w:rPr>
          <w:rFonts w:hint="eastAsia" w:ascii="Times New Roman" w:hAnsi="Times New Roman" w:cs="Times New Roman" w:eastAsiaTheme="minorEastAsia"/>
          <w:kern w:val="1"/>
          <w:sz w:val="24"/>
          <w:szCs w:val="24"/>
          <w:lang w:val="en-US" w:eastAsia="zh-CN" w:bidi="ar-SA"/>
        </w:rPr>
        <w:t>，春夏秋：二甲苯I 10min-二甲苯II 10min-二甲苯III 10min-无水乙醇I 5min-无水乙醇II 5min-95%乙醇 5min-85%乙醇 5min-75%乙醇 5min-纯水 5min。冬天：二甲苯每缸时间延长至15min。</w:t>
      </w:r>
    </w:p>
    <w:bookmarkEnd w:id="28"/>
    <w:bookmarkEnd w:id="29"/>
    <w:bookmarkEnd w:id="30"/>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4.2抗原修复，组织切片置于Tris-EDTA抗原修复缓冲液（PH9）/枸橼酸缓冲液(PH6)的修复盒中于微波炉内进行抗原修复，中火8min至沸，停火8min保温再转中低火7min。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胰蛋白酶修复：将切片画好组化圈</w:t>
      </w:r>
      <w:r>
        <w:rPr>
          <w:rFonts w:hint="eastAsia" w:ascii="Times New Roman" w:hAnsi="Times New Roman" w:cs="Times New Roman" w:eastAsiaTheme="minorEastAsia"/>
          <w:kern w:val="1"/>
          <w:sz w:val="24"/>
          <w:szCs w:val="24"/>
          <w:lang w:val="zh-CN" w:eastAsia="zh-CN" w:bidi="ar-SA"/>
        </w:rPr>
        <w:t>平放于湿盒内（湿盒内加少量水防止抗体蒸发），</w:t>
      </w:r>
      <w:r>
        <w:rPr>
          <w:rFonts w:hint="eastAsia" w:ascii="Times New Roman" w:hAnsi="Times New Roman" w:cs="Times New Roman" w:eastAsiaTheme="minorEastAsia"/>
          <w:kern w:val="1"/>
          <w:sz w:val="24"/>
          <w:szCs w:val="24"/>
          <w:lang w:val="en-US" w:eastAsia="zh-CN" w:bidi="ar-SA"/>
        </w:rPr>
        <w:t>加入配制好的胰蛋白酶修复液，放入37℃烘箱，20min，取出后将玻片置于PBS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高压PH6修复：将切片放入盛有枸橼酸缓冲液(PH6)修复液的高压锅中，修复液淹没切片，盖上锅盖加热至沸，根据切片组织和表达位置选择修复时间，关火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31" w:name="_Toc21139"/>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.3</w:t>
      </w:r>
      <w:bookmarkEnd w:id="31"/>
      <w:bookmarkStart w:id="32" w:name="_Toc10198"/>
      <w:r>
        <w:rPr>
          <w:rFonts w:hint="eastAsia" w:ascii="Times New Roman" w:hAnsi="Times New Roman" w:cs="Times New Roman" w:eastAsiaTheme="minorEastAsia"/>
          <w:kern w:val="1"/>
          <w:sz w:val="24"/>
          <w:szCs w:val="24"/>
          <w:lang w:val="en-US" w:eastAsia="zh-CN" w:bidi="ar-SA"/>
        </w:rPr>
        <w:t>血清封闭，</w:t>
      </w:r>
      <w:r>
        <w:rPr>
          <w:rFonts w:hint="eastAsia" w:ascii="Times New Roman" w:hAnsi="Times New Roman" w:cs="Times New Roman" w:eastAsiaTheme="minorEastAsia"/>
          <w:kern w:val="1"/>
          <w:sz w:val="24"/>
          <w:szCs w:val="24"/>
          <w:lang w:val="zh-CN" w:eastAsia="zh-CN" w:bidi="ar-SA"/>
        </w:rPr>
        <w:t>切片稍甩干后用组化笔在组织周围画圈（防止抗体流走），在圈内滴加</w:t>
      </w:r>
      <w:r>
        <w:rPr>
          <w:rFonts w:hint="eastAsia" w:ascii="Times New Roman" w:hAnsi="Times New Roman" w:cs="Times New Roman" w:eastAsiaTheme="minorEastAsia"/>
          <w:kern w:val="1"/>
          <w:sz w:val="24"/>
          <w:szCs w:val="24"/>
          <w:lang w:val="en-US" w:eastAsia="zh-CN" w:bidi="ar-SA"/>
        </w:rPr>
        <w:t>5</w:t>
      </w:r>
      <w:r>
        <w:rPr>
          <w:rFonts w:hint="eastAsia" w:ascii="Times New Roman" w:hAnsi="Times New Roman" w:cs="Times New Roman" w:eastAsiaTheme="minorEastAsia"/>
          <w:kern w:val="1"/>
          <w:sz w:val="24"/>
          <w:szCs w:val="24"/>
          <w:lang w:val="zh-CN" w:eastAsia="zh-CN" w:bidi="ar-SA"/>
        </w:rPr>
        <w:t>%</w:t>
      </w:r>
      <w:r>
        <w:rPr>
          <w:rFonts w:hint="eastAsia" w:ascii="Times New Roman" w:hAnsi="Times New Roman" w:cs="Times New Roman" w:eastAsiaTheme="minorEastAsia"/>
          <w:kern w:val="1"/>
          <w:sz w:val="24"/>
          <w:szCs w:val="24"/>
          <w:lang w:val="en-US" w:eastAsia="zh-CN" w:bidi="ar-SA"/>
        </w:rPr>
        <w:t>山羊</w:t>
      </w:r>
      <w:r>
        <w:rPr>
          <w:rFonts w:hint="eastAsia" w:ascii="Times New Roman" w:hAnsi="Times New Roman" w:cs="Times New Roman" w:eastAsiaTheme="minorEastAsia"/>
          <w:kern w:val="1"/>
          <w:sz w:val="24"/>
          <w:szCs w:val="24"/>
          <w:lang w:val="zh-CN" w:eastAsia="zh-CN" w:bidi="ar-SA"/>
        </w:rPr>
        <w:t>血清均匀覆盖组织，室温封闭30min。</w:t>
      </w:r>
    </w:p>
    <w:bookmarkEnd w:id="32"/>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4孵育一抗</w:t>
      </w:r>
      <w:bookmarkStart w:id="33" w:name="_Toc7473"/>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轻轻甩掉封闭液，在切片上滴加PBS按一定比例配好的一抗，切片平放于湿盒内4°C孵育过夜。（湿盒内加少量水防止抗体蒸发）</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default" w:ascii="Times New Roman" w:hAnsi="Times New Roman" w:eastAsia="宋体" w:cs="Times New Roman"/>
                <w:b w:val="0"/>
                <w:bCs w:val="0"/>
                <w:caps w:val="0"/>
                <w:kern w:val="1"/>
                <w:sz w:val="21"/>
                <w:szCs w:val="21"/>
                <w:highlight w:val="none"/>
              </w:rPr>
            </w:pPr>
            <w:r>
              <w:rPr>
                <w:rFonts w:hint="eastAsia" w:ascii="宋体" w:hAnsi="宋体" w:eastAsia="宋体" w:cs="宋体"/>
                <w:b w:val="0"/>
                <w:bCs w:val="0"/>
                <w:caps w:val="0"/>
                <w:kern w:val="1"/>
                <w:sz w:val="21"/>
                <w:szCs w:val="21"/>
                <w:highlight w:val="none"/>
                <w:lang w:val="en-US" w:eastAsia="zh-CN" w:bidi="ar"/>
              </w:rPr>
              <w:t>名称</w:t>
            </w:r>
          </w:p>
        </w:tc>
        <w:tc>
          <w:tcPr>
            <w:tcW w:w="1907" w:type="dxa"/>
            <w:tcBorders>
              <w:top w:val="single" w:color="auto" w:sz="4" w:space="0"/>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default" w:ascii="Times New Roman" w:hAnsi="Times New Roman" w:eastAsia="宋体" w:cs="Times New Roman"/>
                <w:b w:val="0"/>
                <w:bCs w:val="0"/>
                <w:caps w:val="0"/>
                <w:kern w:val="1"/>
                <w:sz w:val="21"/>
                <w:szCs w:val="21"/>
                <w:highlight w:val="none"/>
              </w:rPr>
            </w:pPr>
            <w:r>
              <w:rPr>
                <w:rFonts w:hint="eastAsia" w:ascii="宋体" w:hAnsi="宋体" w:eastAsia="宋体" w:cs="宋体"/>
                <w:b w:val="0"/>
                <w:bCs w:val="0"/>
                <w:caps w:val="0"/>
                <w:kern w:val="1"/>
                <w:sz w:val="21"/>
                <w:szCs w:val="21"/>
                <w:highlight w:val="none"/>
                <w:lang w:val="en-US" w:eastAsia="zh-CN" w:bidi="ar"/>
              </w:rPr>
              <w:t>稀释比</w:t>
            </w:r>
          </w:p>
        </w:tc>
        <w:tc>
          <w:tcPr>
            <w:tcW w:w="1907" w:type="dxa"/>
            <w:tcBorders>
              <w:top w:val="single" w:color="auto" w:sz="4" w:space="0"/>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default" w:ascii="Times New Roman" w:hAnsi="Times New Roman" w:eastAsia="宋体" w:cs="Times New Roman"/>
                <w:b w:val="0"/>
                <w:bCs w:val="0"/>
                <w:caps w:val="0"/>
                <w:kern w:val="1"/>
                <w:sz w:val="21"/>
                <w:szCs w:val="21"/>
                <w:highlight w:val="none"/>
              </w:rPr>
            </w:pPr>
            <w:r>
              <w:rPr>
                <w:rFonts w:hint="eastAsia" w:ascii="宋体" w:hAnsi="宋体" w:eastAsia="宋体" w:cs="宋体"/>
                <w:b w:val="0"/>
                <w:bCs w:val="0"/>
                <w:caps w:val="0"/>
                <w:kern w:val="1"/>
                <w:sz w:val="21"/>
                <w:szCs w:val="21"/>
                <w:highlight w:val="none"/>
                <w:lang w:val="en-US" w:eastAsia="zh-CN" w:bidi="ar"/>
              </w:rPr>
              <w:t>品牌</w:t>
            </w:r>
          </w:p>
        </w:tc>
        <w:tc>
          <w:tcPr>
            <w:tcW w:w="2496" w:type="dxa"/>
            <w:tcBorders>
              <w:top w:val="single" w:color="auto" w:sz="4" w:space="0"/>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default" w:ascii="Times New Roman" w:hAnsi="Times New Roman" w:eastAsia="宋体" w:cs="Times New Roman"/>
                <w:b w:val="0"/>
                <w:bCs w:val="0"/>
                <w:caps w:val="0"/>
                <w:kern w:val="1"/>
                <w:sz w:val="21"/>
                <w:szCs w:val="21"/>
                <w:highlight w:val="none"/>
              </w:rPr>
            </w:pPr>
            <w:r>
              <w:rPr>
                <w:rFonts w:hint="eastAsia" w:ascii="宋体" w:hAnsi="宋体" w:eastAsia="宋体" w:cs="宋体"/>
                <w:b w:val="0"/>
                <w:bCs w:val="0"/>
                <w:caps w:val="0"/>
                <w:kern w:val="1"/>
                <w:sz w:val="21"/>
                <w:szCs w:val="21"/>
                <w:highlight w:val="none"/>
                <w:lang w:val="en-US" w:eastAsia="zh-CN" w:bidi="ar"/>
              </w:rPr>
              <w:t>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single" w:color="auto" w:sz="4" w:space="0"/>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single" w:color="auto" w:sz="4" w:space="0"/>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2496" w:type="dxa"/>
            <w:tcBorders>
              <w:top w:val="single" w:color="auto" w:sz="4" w:space="0"/>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c>
          <w:tcPr>
            <w:tcW w:w="2496"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right="0"/>
              <w:jc w:val="center"/>
              <w:rPr>
                <w:rFonts w:hint="eastAsia" w:ascii="Times New Roman" w:hAnsi="Times New Roman" w:eastAsia="宋体" w:cs="Times New Roman"/>
                <w:b w:val="0"/>
                <w:bCs w:val="0"/>
                <w:caps w:val="0"/>
                <w:kern w:val="1"/>
                <w:sz w:val="21"/>
                <w:szCs w:val="21"/>
                <w:highlight w:val="none"/>
                <w:lang w:val="en-US" w:eastAsia="zh-CN"/>
              </w:rPr>
            </w:pPr>
            <w:r>
              <w:rPr>
                <w:rFonts w:hint="eastAsia" w:ascii="Times New Roman" w:hAnsi="Times New Roman" w:cs="Times New Roman"/>
                <w:b w:val="0"/>
                <w:bCs w:val="0"/>
                <w:caps w:val="0"/>
                <w:kern w:val="1"/>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2496" w:type="dxa"/>
            <w:tcBorders>
              <w:top w:val="nil"/>
              <w:left w:val="nil"/>
              <w:bottom w:val="nil"/>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1907" w:type="dxa"/>
            <w:tcBorders>
              <w:top w:val="nil"/>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c>
          <w:tcPr>
            <w:tcW w:w="2496" w:type="dxa"/>
            <w:tcBorders>
              <w:top w:val="nil"/>
              <w:left w:val="nil"/>
              <w:bottom w:val="single" w:color="auto" w:sz="4" w:space="0"/>
              <w:right w:val="nil"/>
            </w:tcBorders>
            <w:shd w:val="clear" w:color="auto" w:fill="auto"/>
            <w:vAlign w:val="center"/>
          </w:tcPr>
          <w:p>
            <w:pPr>
              <w:keepNext w:val="0"/>
              <w:keepLines w:val="0"/>
              <w:widowControl w:val="0"/>
              <w:suppressLineNumbers w:val="0"/>
              <w:autoSpaceDE w:val="0"/>
              <w:autoSpaceDN/>
              <w:spacing w:before="144" w:beforeLines="50" w:beforeAutospacing="0" w:after="144" w:afterLines="50" w:afterAutospacing="0"/>
              <w:ind w:left="0" w:leftChars="0" w:right="0" w:rightChars="0"/>
              <w:jc w:val="center"/>
              <w:rPr>
                <w:rFonts w:hint="default" w:ascii="Times New Roman" w:hAnsi="Times New Roman" w:eastAsia="宋体" w:cs="Times New Roman"/>
                <w:b w:val="0"/>
                <w:bCs w:val="0"/>
                <w:caps w:val="0"/>
                <w:kern w:val="1"/>
                <w:sz w:val="21"/>
                <w:szCs w:val="21"/>
                <w:highlight w:val="none"/>
                <w:lang w:val="en-US" w:eastAsia="zh-CN" w:bidi="ar-SA"/>
              </w:rPr>
            </w:pPr>
            <w:r>
              <w:rPr>
                <w:rFonts w:hint="eastAsia" w:ascii="Times New Roman" w:hAnsi="Times New Roman" w:cs="Times New Roman"/>
                <w:b w:val="0"/>
                <w:bCs w:val="0"/>
                <w:caps w:val="0"/>
                <w:kern w:val="1"/>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zh-CN" w:eastAsia="zh-CN"/>
        </w:rPr>
      </w:pPr>
    </w:p>
    <w:bookmarkEnd w:id="33"/>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34" w:name="_Toc16101"/>
      <w:r>
        <w:rPr>
          <w:rFonts w:hint="eastAsia" w:ascii="Times New Roman" w:hAnsi="Times New Roman" w:cs="Times New Roman" w:eastAsiaTheme="minorEastAsia"/>
          <w:kern w:val="1"/>
          <w:sz w:val="24"/>
          <w:szCs w:val="24"/>
          <w:lang w:val="en-US" w:eastAsia="zh-CN" w:bidi="ar-SA"/>
        </w:rPr>
        <w:t>4.5</w:t>
      </w:r>
      <w:bookmarkEnd w:id="34"/>
      <w:r>
        <w:rPr>
          <w:rFonts w:hint="eastAsia" w:ascii="Times New Roman" w:hAnsi="Times New Roman" w:cs="Times New Roman" w:eastAsiaTheme="minorEastAsia"/>
          <w:kern w:val="1"/>
          <w:sz w:val="24"/>
          <w:szCs w:val="24"/>
          <w:lang w:val="en-US" w:eastAsia="zh-CN" w:bidi="ar-SA"/>
        </w:rPr>
        <w:t>滴加反应增强液；玻片置于PBS</w:t>
      </w:r>
      <w:r>
        <w:rPr>
          <w:rFonts w:hint="eastAsia" w:ascii="Times New Roman" w:hAnsi="Times New Roman" w:cs="Times New Roman" w:eastAsiaTheme="minorEastAsia"/>
          <w:kern w:val="1"/>
          <w:sz w:val="24"/>
          <w:szCs w:val="24"/>
          <w:lang w:val="zh-CN" w:eastAsia="zh-CN" w:bidi="ar-SA"/>
        </w:rPr>
        <w:t>（PH7.4）中在脱色摇床上晃动洗涤</w:t>
      </w:r>
      <w:r>
        <w:rPr>
          <w:rFonts w:hint="eastAsia" w:ascii="Times New Roman" w:hAnsi="Times New Roman" w:cs="Times New Roman" w:eastAsiaTheme="minorEastAsia"/>
          <w:kern w:val="1"/>
          <w:sz w:val="24"/>
          <w:szCs w:val="24"/>
          <w:lang w:val="en-US" w:eastAsia="zh-CN" w:bidi="ar-SA"/>
        </w:rPr>
        <w:t>3次，每次5min。切片稍甩干后滴加100μL或适量的反应增强液，37℃孵育20分钟。</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4.6滴加增强酶标羊抗小鼠/兔IgG聚合物；玻片置于PBS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3次，每次5min。切片稍甩干后在圈内滴加100uL或适量的增强酶标羊抗小鼠/兔IgG聚合物，37℃孵育20分钟。</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4.7DAB显色，</w:t>
      </w:r>
      <w:r>
        <w:rPr>
          <w:rFonts w:hint="eastAsia" w:ascii="Times New Roman" w:hAnsi="Times New Roman" w:cs="Times New Roman" w:eastAsiaTheme="minorEastAsia"/>
          <w:kern w:val="1"/>
          <w:sz w:val="24"/>
          <w:szCs w:val="24"/>
          <w:lang w:val="zh-CN" w:eastAsia="zh-CN" w:bidi="ar-SA"/>
        </w:rPr>
        <w:t>切片稍甩干后在圈内滴加新鲜配制的DAB显色液，显微镜下控制显色时间，阳性为棕黄色，自来水冲洗切片终止显色。</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4.8复染细胞核，</w:t>
      </w:r>
      <w:r>
        <w:rPr>
          <w:rFonts w:hint="eastAsia" w:ascii="Times New Roman" w:hAnsi="Times New Roman" w:cs="Times New Roman" w:eastAsiaTheme="minorEastAsia"/>
          <w:kern w:val="1"/>
          <w:sz w:val="24"/>
          <w:szCs w:val="24"/>
          <w:lang w:val="zh-CN" w:eastAsia="zh-CN" w:bidi="ar-SA"/>
        </w:rPr>
        <w:t>苏木素复染</w:t>
      </w:r>
      <w:r>
        <w:rPr>
          <w:rFonts w:hint="eastAsia" w:ascii="Times New Roman" w:hAnsi="Times New Roman" w:cs="Times New Roman" w:eastAsiaTheme="minorEastAsia"/>
          <w:kern w:val="1"/>
          <w:sz w:val="24"/>
          <w:szCs w:val="24"/>
          <w:lang w:val="en-US" w:eastAsia="zh-CN" w:bidi="ar-SA"/>
        </w:rPr>
        <w:t>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分化数秒，自来水冲洗，氨水返蓝，流水冲洗。</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4.9脱水封片，</w:t>
      </w:r>
      <w:r>
        <w:rPr>
          <w:rFonts w:hint="eastAsia" w:ascii="Times New Roman" w:hAnsi="Times New Roman" w:cs="Times New Roman" w:eastAsiaTheme="minorEastAsia"/>
          <w:kern w:val="1"/>
          <w:sz w:val="24"/>
          <w:szCs w:val="24"/>
          <w:lang w:val="zh-CN" w:eastAsia="zh-CN" w:bidi="ar-SA"/>
        </w:rPr>
        <w:t>将切片依次放入75%酒精5min-85%酒精5min-无水乙醇Ⅰ5min-无水乙醇Ⅱ5mi</w:t>
      </w:r>
      <w:r>
        <w:rPr>
          <w:rFonts w:hint="eastAsia" w:ascii="Times New Roman" w:hAnsi="Times New Roman" w:cs="Times New Roman" w:eastAsiaTheme="minorEastAsia"/>
          <w:kern w:val="1"/>
          <w:sz w:val="24"/>
          <w:szCs w:val="24"/>
          <w:lang w:val="en-US" w:eastAsia="zh-CN" w:bidi="ar-SA"/>
        </w:rPr>
        <w:t>n-</w:t>
      </w:r>
      <w:r>
        <w:rPr>
          <w:rFonts w:hint="eastAsia" w:ascii="Times New Roman" w:hAnsi="Times New Roman" w:cs="Times New Roman" w:eastAsiaTheme="minorEastAsia"/>
          <w:kern w:val="1"/>
          <w:sz w:val="24"/>
          <w:szCs w:val="24"/>
          <w:lang w:val="zh-CN" w:eastAsia="zh-CN" w:bidi="ar-SA"/>
        </w:rPr>
        <w:t>二甲苯Ⅰ5min</w:t>
      </w:r>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二甲苯Ⅱ5min</w:t>
      </w:r>
      <w:r>
        <w:rPr>
          <w:rFonts w:hint="eastAsia" w:ascii="Times New Roman" w:hAnsi="Times New Roman" w:cs="Times New Roman" w:eastAsiaTheme="minorEastAsia"/>
          <w:kern w:val="1"/>
          <w:sz w:val="24"/>
          <w:szCs w:val="24"/>
          <w:lang w:val="en-US" w:eastAsia="zh-CN" w:bidi="ar-SA"/>
        </w:rPr>
        <w:t>-</w:t>
      </w:r>
      <w:r>
        <w:rPr>
          <w:rFonts w:hint="default" w:ascii="Times New Roman" w:hAnsi="Times New Roman" w:cs="Times New Roman" w:eastAsiaTheme="minorEastAsia"/>
          <w:kern w:val="1"/>
          <w:sz w:val="24"/>
          <w:szCs w:val="24"/>
          <w:lang w:val="en-US" w:eastAsia="zh-CN" w:bidi="ar-SA"/>
        </w:rPr>
        <w:t>二甲苯Ⅲ5min ，</w:t>
      </w:r>
      <w:r>
        <w:rPr>
          <w:rFonts w:hint="eastAsia" w:ascii="Times New Roman" w:hAnsi="Times New Roman" w:cs="Times New Roman" w:eastAsiaTheme="minorEastAsia"/>
          <w:kern w:val="1"/>
          <w:sz w:val="24"/>
          <w:szCs w:val="24"/>
          <w:lang w:val="zh-CN" w:eastAsia="zh-CN" w:bidi="ar-SA"/>
        </w:rPr>
        <w:t>中性树胶封片。</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4.10</w:t>
      </w:r>
      <w:r>
        <w:rPr>
          <w:rFonts w:hint="default" w:ascii="Times New Roman" w:hAnsi="Times New Roman" w:cs="Times New Roman" w:eastAsiaTheme="minorEastAsia"/>
          <w:kern w:val="1"/>
          <w:sz w:val="24"/>
          <w:szCs w:val="24"/>
          <w:lang w:val="en-US" w:eastAsia="zh-CN" w:bidi="ar-SA"/>
        </w:rPr>
        <w:t>镜检。</w:t>
      </w: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5" w:name="_Toc28051"/>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染色结果</w:t>
      </w:r>
      <w:bookmarkEnd w:id="3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zh-CN" w:eastAsia="zh-CN" w:bidi="ar-SA"/>
        </w:rPr>
        <w:t>苏木素染细胞核为蓝色，DAB显出的阳性表达为棕黄色。</w:t>
      </w: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3E63A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ADE77BA"/>
    <w:rsid w:val="0B8C31F9"/>
    <w:rsid w:val="0BF202F5"/>
    <w:rsid w:val="0D1F336B"/>
    <w:rsid w:val="0D3203D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9C2677"/>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A75C2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3E14ED3"/>
    <w:rsid w:val="54AC42D6"/>
    <w:rsid w:val="54FB217D"/>
    <w:rsid w:val="551B6739"/>
    <w:rsid w:val="551E569C"/>
    <w:rsid w:val="557C1FAA"/>
    <w:rsid w:val="557F01C6"/>
    <w:rsid w:val="55E5675C"/>
    <w:rsid w:val="567C2762"/>
    <w:rsid w:val="56AC2486"/>
    <w:rsid w:val="56B57E6A"/>
    <w:rsid w:val="56D92F26"/>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482D61"/>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7F51BA"/>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175CA1"/>
    <w:rsid w:val="6F4162E7"/>
    <w:rsid w:val="6F56024D"/>
    <w:rsid w:val="6F954DC1"/>
    <w:rsid w:val="6FF5944C"/>
    <w:rsid w:val="704A6721"/>
    <w:rsid w:val="705463CD"/>
    <w:rsid w:val="7057541D"/>
    <w:rsid w:val="70AE6992"/>
    <w:rsid w:val="70EC4B6A"/>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BA16D3"/>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3065</Words>
  <Characters>3630</Characters>
  <Lines>29</Lines>
  <Paragraphs>8</Paragraphs>
  <TotalTime>0</TotalTime>
  <ScaleCrop>false</ScaleCrop>
  <LinksUpToDate>false</LinksUpToDate>
  <CharactersWithSpaces>3681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2024-07-10T09:18:38Z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8F8C77EB905C4BC99194CCCEF24240A4_13</vt:lpwstr>
  </property>
</Properties>
</file>