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细胞免疫组化</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96.05pt;width:594.8pt;z-index:251661312;mso-width-relative:page;mso-height-relative:page;" filled="f" stroked="f" coordsize="21600,21600" o:gfxdata="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wveedsAAAAKAQAADwAAAAAAAAABACAAAAAiAAAAZHJzL2Rvd25yZXYueG1sUEsB&#10;AhQAFAAAAAgAh07iQASLfXZkAgAApAQAAA4AAAAAAAAAAQAgAAAAKgEAAGRycy9lMm9Eb2MueG1s&#10;UEsFBgAAAAAGAAYAWQEAAAAGA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细胞免疫组化</w:t>
                      </w:r>
                      <w:r>
                        <w:rPr>
                          <w:rFonts w:hint="eastAsia" w:ascii="Times New Roman" w:hAnsi="Times New Roman" w:eastAsia="微软雅黑"/>
                          <w:b/>
                          <w:bCs/>
                          <w:color w:val="FFFFFF" w:themeColor="background1"/>
                          <w:sz w:val="96"/>
                          <w:szCs w:val="96"/>
                          <w14:textFill>
                            <w14:solidFill>
                              <w14:schemeClr w14:val="bg1"/>
                            </w14:solidFill>
                          </w14:textFill>
                        </w:rPr>
                        <w:t>实验</w:t>
                      </w:r>
                    </w:p>
                  </w:txbxContent>
                </v:textbox>
              </v:shape>
            </w:pict>
          </mc:Fallback>
        </mc:AlternateContent>
      </w: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5pt;margin-top:202.35pt;height:72pt;width:303.3pt;z-index:251662336;mso-width-relative:page;mso-height-relative:page;" filled="f" stroked="f" coordsize="21600,21600" o:gfxdata="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aZ9/d&#10;AAAACwEAAA8AAAAAAAAAAQAgAAAAIgAAAGRycy9kb3ducmV2LnhtbFBLAQIUABQAAAAIAIdO4kAt&#10;unkkVAIAAJcEAAAOAAAAAAAAAAEAIAAAACwBAABkcnMvZTJvRG9jLnhtbFBLBQYAAAAABgAGAFkB&#10;AADyBQ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62" w:name="_GoBack"/>
      <w:bookmarkEnd w:id="62"/>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169253391"/>
      <w:bookmarkStart w:id="2" w:name="_Toc3116"/>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adjustRightInd w:val="0"/>
        <w:snapToGrid w:val="0"/>
        <w:spacing w:before="120" w:beforeLines="50" w:after="120" w:afterLines="50"/>
        <w:ind w:firstLine="480" w:firstLineChars="200"/>
        <w:rPr>
          <w:rFonts w:ascii="Times New Roman" w:hAnsi="Times New Roman"/>
          <w:sz w:val="24"/>
          <w:szCs w:val="24"/>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jc w:val="right"/>
        <w:textAlignment w:val="auto"/>
        <w:rPr>
          <w:rFonts w:hint="default" w:ascii="Times New Roman" w:hAnsi="Times New Roman" w:eastAsia="宋体" w:cs="Times New Roman"/>
          <w:sz w:val="24"/>
          <w:szCs w:val="24"/>
          <w:highlight w:val="none"/>
        </w:rPr>
      </w:pPr>
      <w:r>
        <w:rPr>
          <w:rFonts w:ascii="Times New Roman" w:hAnsi="Times New Roman"/>
          <w:sz w:val="24"/>
          <w:szCs w:val="24"/>
        </w:rPr>
        <w:t>成都奥创生物科技有限公司</w:t>
      </w:r>
    </w:p>
    <w:p>
      <w:pPr>
        <w:pageBreakBefore w:val="0"/>
        <w:kinsoku/>
        <w:wordWrap/>
        <w:overflowPunct/>
        <w:topLinePunct w:val="0"/>
        <w:bidi w:val="0"/>
        <w:spacing w:before="144" w:beforeLines="50" w:after="144" w:afterLines="50" w:line="24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br w:type="page"/>
      </w:r>
    </w:p>
    <w:p>
      <w:pPr>
        <w:keepNext w:val="0"/>
        <w:keepLines w:val="0"/>
        <w:pageBreakBefore w:val="0"/>
        <w:widowControl w:val="0"/>
        <w:tabs>
          <w:tab w:val="left" w:pos="296"/>
          <w:tab w:val="center" w:pos="4720"/>
        </w:tabs>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outlineLvl w:val="0"/>
        <w:rPr>
          <w:rFonts w:hint="default" w:ascii="Times New Roman" w:hAnsi="Times New Roman" w:eastAsia="宋体" w:cs="Times New Roman"/>
          <w:b/>
          <w:bCs/>
          <w:color w:val="000000"/>
          <w:sz w:val="28"/>
          <w:highlight w:val="none"/>
          <w:lang w:eastAsia="zh-CN"/>
        </w:rPr>
      </w:pPr>
      <w:bookmarkStart w:id="3" w:name="_Toc26157"/>
      <w:bookmarkStart w:id="4" w:name="_Toc2446"/>
      <w:r>
        <w:rPr>
          <w:rFonts w:hint="default" w:ascii="Times New Roman" w:hAnsi="Times New Roman" w:eastAsia="宋体" w:cs="Times New Roman"/>
          <w:b/>
          <w:bCs/>
          <w:color w:val="000000"/>
          <w:sz w:val="28"/>
          <w:highlight w:val="none"/>
          <w:lang w:eastAsia="zh-CN"/>
        </w:rPr>
        <w:t>注意事项</w:t>
      </w:r>
      <w:bookmarkEnd w:id="3"/>
      <w:bookmarkEnd w:id="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bCs/>
          <w:color w:val="000000"/>
          <w:sz w:val="28"/>
          <w:highlight w:val="none"/>
          <w:lang w:eastAsia="zh-CN"/>
        </w:rPr>
      </w:pPr>
    </w:p>
    <w:p>
      <w:pPr>
        <w:keepNext w:val="0"/>
        <w:keepLines w:val="0"/>
        <w:pageBreakBefore w:val="0"/>
        <w:widowControl w:val="0"/>
        <w:tabs>
          <w:tab w:val="left" w:pos="4380"/>
        </w:tabs>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outlineLvl w:val="9"/>
        <w:rPr>
          <w:rFonts w:hint="default" w:ascii="Times New Roman" w:hAnsi="Times New Roman" w:eastAsia="宋体" w:cs="Times New Roman"/>
          <w:bCs/>
          <w:color w:val="000000"/>
          <w:sz w:val="24"/>
          <w:szCs w:val="24"/>
          <w:highlight w:val="none"/>
          <w:lang w:eastAsia="zh-CN"/>
        </w:rPr>
      </w:pPr>
      <w:bookmarkStart w:id="5" w:name="_Toc15420"/>
      <w:r>
        <w:rPr>
          <w:rFonts w:hint="default" w:ascii="Times New Roman" w:hAnsi="Times New Roman" w:eastAsia="宋体" w:cs="Times New Roman"/>
          <w:bCs/>
          <w:color w:val="000000"/>
          <w:sz w:val="24"/>
          <w:szCs w:val="24"/>
          <w:highlight w:val="none"/>
          <w:lang w:eastAsia="zh-CN"/>
        </w:rPr>
        <w:t>一、本报告未加盖本公司公章无效。</w:t>
      </w:r>
      <w:bookmarkEnd w:id="5"/>
      <w:r>
        <w:rPr>
          <w:rFonts w:hint="default" w:ascii="Times New Roman" w:hAnsi="Times New Roman" w:eastAsia="宋体" w:cs="Times New Roman"/>
          <w:bCs/>
          <w:color w:val="000000"/>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二、报告</w:t>
      </w:r>
      <w:r>
        <w:rPr>
          <w:rFonts w:hint="default" w:ascii="Times New Roman" w:hAnsi="Times New Roman" w:eastAsia="宋体" w:cs="Times New Roman"/>
          <w:bCs/>
          <w:color w:val="000000"/>
          <w:sz w:val="24"/>
          <w:szCs w:val="24"/>
          <w:highlight w:val="none"/>
          <w:lang w:val="en-US" w:eastAsia="zh-CN"/>
        </w:rPr>
        <w:t>齐</w:t>
      </w:r>
      <w:r>
        <w:rPr>
          <w:rFonts w:hint="default" w:ascii="Times New Roman" w:hAnsi="Times New Roman" w:eastAsia="宋体" w:cs="Times New Roman"/>
          <w:bCs/>
          <w:color w:val="000000"/>
          <w:sz w:val="24"/>
          <w:szCs w:val="24"/>
          <w:highlight w:val="none"/>
          <w:lang w:eastAsia="zh-CN"/>
        </w:rPr>
        <w:t>缝章不完整无效。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三、报告无批准人签字无效。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四、本报告涂改</w:t>
      </w:r>
      <w:r>
        <w:rPr>
          <w:rFonts w:hint="default" w:ascii="Times New Roman" w:hAnsi="Times New Roman" w:eastAsia="宋体" w:cs="Times New Roman"/>
          <w:bCs/>
          <w:sz w:val="24"/>
          <w:szCs w:val="24"/>
          <w:highlight w:val="none"/>
          <w:lang w:eastAsia="zh-CN"/>
        </w:rPr>
        <w:t>或缺页</w:t>
      </w:r>
      <w:r>
        <w:rPr>
          <w:rFonts w:hint="default" w:ascii="Times New Roman" w:hAnsi="Times New Roman" w:eastAsia="宋体" w:cs="Times New Roman"/>
          <w:bCs/>
          <w:color w:val="000000"/>
          <w:sz w:val="24"/>
          <w:szCs w:val="24"/>
          <w:highlight w:val="none"/>
          <w:lang w:eastAsia="zh-CN"/>
        </w:rPr>
        <w:t>无效。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五、未经本公司书面允许，不得部分复制本报告（全文复制除外）。</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六、若对检验报告有异议，应于收到报告之日起十五日内向本公司提出，逾期不予受理。</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七、本公司只对本次检测样品负责，其检验检测数据、结果仅证明样品所检验检测项目的符合性。</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八、不得使用本报告进行不当宣传。</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九、本报告书一式两份，一份本公司存档，一份交委托单位。</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2" w:firstLineChars="175"/>
        <w:textAlignment w:val="auto"/>
        <w:rPr>
          <w:rFonts w:hint="default" w:ascii="Times New Roman" w:hAnsi="Times New Roman" w:eastAsia="宋体" w:cs="Times New Roman"/>
          <w:b/>
          <w:bCs/>
          <w:color w:val="00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20" w:firstLineChars="175"/>
        <w:jc w:val="right"/>
        <w:textAlignment w:val="auto"/>
        <w:rPr>
          <w:rFonts w:hint="default" w:ascii="Times New Roman" w:hAnsi="Times New Roman" w:eastAsia="宋体" w:cs="Times New Roman"/>
          <w:bCs/>
          <w:color w:val="000000"/>
          <w:sz w:val="24"/>
          <w:szCs w:val="24"/>
          <w:highlight w:val="none"/>
          <w:lang w:eastAsia="zh-CN"/>
        </w:rPr>
      </w:pPr>
      <w:r>
        <w:rPr>
          <w:rFonts w:hint="default" w:ascii="Times New Roman" w:hAnsi="Times New Roman" w:eastAsia="宋体" w:cs="Times New Roman"/>
          <w:bCs/>
          <w:color w:val="000000"/>
          <w:sz w:val="24"/>
          <w:szCs w:val="24"/>
          <w:highlight w:val="none"/>
          <w:lang w:eastAsia="zh-CN"/>
        </w:rPr>
        <w:t>检验机构：成都</w:t>
      </w:r>
      <w:r>
        <w:rPr>
          <w:rFonts w:hint="default" w:ascii="Times New Roman" w:hAnsi="Times New Roman" w:eastAsia="宋体" w:cs="Times New Roman"/>
          <w:bCs/>
          <w:color w:val="000000"/>
          <w:sz w:val="24"/>
          <w:szCs w:val="24"/>
          <w:highlight w:val="none"/>
          <w:lang w:val="en-US" w:eastAsia="zh-CN"/>
        </w:rPr>
        <w:t>奥创</w:t>
      </w:r>
      <w:r>
        <w:rPr>
          <w:rFonts w:hint="default" w:ascii="Times New Roman" w:hAnsi="Times New Roman" w:eastAsia="宋体" w:cs="Times New Roman"/>
          <w:bCs/>
          <w:color w:val="000000"/>
          <w:sz w:val="24"/>
          <w:szCs w:val="24"/>
          <w:highlight w:val="none"/>
          <w:lang w:eastAsia="zh-CN"/>
        </w:rPr>
        <w:t>生物科技有限公司</w:t>
      </w:r>
    </w:p>
    <w:p>
      <w:pPr>
        <w:spacing w:after="100" w:afterAutospacing="1" w:line="360" w:lineRule="auto"/>
        <w:ind w:firstLine="360" w:firstLineChars="150"/>
        <w:contextualSpacing/>
        <w:rPr>
          <w:rFonts w:ascii="Times New Roman" w:hAnsi="Times New Roman" w:eastAsiaTheme="minorEastAsia"/>
          <w:sz w:val="24"/>
          <w:szCs w:val="24"/>
        </w:rPr>
      </w:pPr>
    </w:p>
    <w:p>
      <w:pPr>
        <w:keepNext/>
        <w:keepLines/>
        <w:pageBreakBefore/>
        <w:spacing w:line="360" w:lineRule="auto"/>
        <w:ind w:firstLine="361" w:firstLineChars="150"/>
        <w:jc w:val="center"/>
        <w:rPr>
          <w:rFonts w:ascii="Times New Roman" w:hAnsi="Times New Roman" w:eastAsiaTheme="minorEastAsia"/>
          <w:b/>
          <w:bCs/>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bCs/>
          <w:sz w:val="24"/>
          <w:szCs w:val="24"/>
        </w:rPr>
      </w:pPr>
    </w:p>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sdt>
          <w:sdtPr>
            <w:rPr>
              <w:rFonts w:ascii="Calibri" w:hAnsi="Calibri" w:eastAsia="宋体" w:cs="Times New Roman"/>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pStyle w:val="61"/>
                <w:jc w:val="center"/>
              </w:pPr>
              <w:r>
                <w:rPr>
                  <w:color w:val="auto"/>
                  <w:sz w:val="24"/>
                  <w:szCs w:val="24"/>
                  <w:lang w:val="zh-CN"/>
                </w:rPr>
                <w:t>目录</w:t>
              </w:r>
              <w:r>
                <w:rPr>
                  <w:sz w:val="24"/>
                  <w:szCs w:val="24"/>
                </w:rPr>
                <w:fldChar w:fldCharType="begin"/>
              </w:r>
              <w:r>
                <w:rPr>
                  <w:sz w:val="24"/>
                  <w:szCs w:val="24"/>
                </w:rPr>
                <w:instrText xml:space="preserve"> TOC \o "1-3" \h \z \u </w:instrText>
              </w:r>
              <w:r>
                <w:rPr>
                  <w:sz w:val="24"/>
                  <w:szCs w:val="24"/>
                </w:rPr>
                <w:fldChar w:fldCharType="separate"/>
              </w:r>
            </w:p>
            <w:p>
              <w:pPr>
                <w:pStyle w:val="10"/>
                <w:tabs>
                  <w:tab w:val="right" w:leader="dot" w:pos="9320"/>
                </w:tabs>
              </w:pPr>
              <w:r>
                <w:rPr>
                  <w:bCs/>
                  <w:szCs w:val="24"/>
                  <w:lang w:val="zh-CN"/>
                </w:rPr>
                <w:fldChar w:fldCharType="begin"/>
              </w:r>
              <w:r>
                <w:rPr>
                  <w:bCs/>
                  <w:szCs w:val="24"/>
                  <w:lang w:val="zh-CN"/>
                </w:rPr>
                <w:instrText xml:space="preserve"> HYPERLINK \l _Toc8389 </w:instrText>
              </w:r>
              <w:r>
                <w:rPr>
                  <w:bCs/>
                  <w:szCs w:val="24"/>
                  <w:lang w:val="zh-CN"/>
                </w:rPr>
                <w:fldChar w:fldCharType="separate"/>
              </w:r>
              <w:r>
                <w:rPr>
                  <w:rFonts w:ascii="Times New Roman" w:hAnsi="Times New Roman" w:cs="Times New Roman" w:eastAsiaTheme="minorEastAsia"/>
                  <w:szCs w:val="28"/>
                </w:rPr>
                <w:t>一、 样本信息</w:t>
              </w:r>
              <w:r>
                <w:tab/>
              </w:r>
              <w:r>
                <w:fldChar w:fldCharType="begin"/>
              </w:r>
              <w:r>
                <w:instrText xml:space="preserve"> PAGEREF _Toc8389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_Toc669 </w:instrText>
              </w:r>
              <w:r>
                <w:rPr>
                  <w:bCs/>
                  <w:szCs w:val="24"/>
                  <w:lang w:val="zh-CN"/>
                </w:rPr>
                <w:fldChar w:fldCharType="separate"/>
              </w:r>
              <w:r>
                <w:rPr>
                  <w:rFonts w:hint="default" w:ascii="Times New Roman" w:hAnsi="Times New Roman" w:cs="Times New Roman" w:eastAsiaTheme="minorEastAsia"/>
                  <w:szCs w:val="28"/>
                  <w:lang w:val="en-US" w:eastAsia="zh-CN"/>
                </w:rPr>
                <w:t>二、 实验简介</w:t>
              </w:r>
              <w:r>
                <w:tab/>
              </w:r>
              <w:r>
                <w:fldChar w:fldCharType="begin"/>
              </w:r>
              <w:r>
                <w:instrText xml:space="preserve"> PAGEREF _Toc669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_Toc6156 </w:instrText>
              </w:r>
              <w:r>
                <w:rPr>
                  <w:bCs/>
                  <w:szCs w:val="24"/>
                  <w:lang w:val="zh-CN"/>
                </w:rPr>
                <w:fldChar w:fldCharType="separate"/>
              </w:r>
              <w:r>
                <w:rPr>
                  <w:rFonts w:hint="default" w:ascii="Times New Roman" w:hAnsi="Times New Roman" w:cs="Times New Roman" w:eastAsiaTheme="minorEastAsia"/>
                  <w:szCs w:val="28"/>
                  <w:lang w:val="en-US" w:eastAsia="zh-CN"/>
                </w:rPr>
                <w:t>三、 实验仪器、试剂耗材</w:t>
              </w:r>
              <w:r>
                <w:tab/>
              </w:r>
              <w:r>
                <w:fldChar w:fldCharType="begin"/>
              </w:r>
              <w:r>
                <w:instrText xml:space="preserve"> PAGEREF _Toc6156 \h </w:instrText>
              </w:r>
              <w:r>
                <w:fldChar w:fldCharType="separate"/>
              </w:r>
              <w:r>
                <w:t>8</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_Toc4385 </w:instrText>
              </w:r>
              <w:r>
                <w:rPr>
                  <w:bCs/>
                  <w:szCs w:val="24"/>
                  <w:lang w:val="zh-CN"/>
                </w:rPr>
                <w:fldChar w:fldCharType="separate"/>
              </w:r>
              <w:r>
                <w:rPr>
                  <w:rFonts w:hint="default" w:ascii="Times New Roman" w:hAnsi="Times New Roman" w:cs="Times New Roman" w:eastAsiaTheme="minorEastAsia"/>
                  <w:szCs w:val="28"/>
                  <w:lang w:val="en-US" w:eastAsia="zh-CN"/>
                </w:rPr>
                <w:t>四、 实验步骤</w:t>
              </w:r>
              <w:r>
                <w:tab/>
              </w:r>
              <w:r>
                <w:fldChar w:fldCharType="begin"/>
              </w:r>
              <w:r>
                <w:instrText xml:space="preserve"> PAGEREF _Toc4385 \h </w:instrText>
              </w:r>
              <w:r>
                <w:fldChar w:fldCharType="separate"/>
              </w:r>
              <w:r>
                <w:t>9</w:t>
              </w:r>
              <w:r>
                <w:fldChar w:fldCharType="end"/>
              </w:r>
              <w:r>
                <w:rPr>
                  <w:bCs/>
                  <w:szCs w:val="24"/>
                  <w:lang w:val="zh-CN"/>
                </w:rPr>
                <w:fldChar w:fldCharType="end"/>
              </w:r>
            </w:p>
            <w:p>
              <w:pPr>
                <w:pStyle w:val="10"/>
                <w:tabs>
                  <w:tab w:val="right" w:leader="dot" w:pos="9320"/>
                </w:tabs>
              </w:pPr>
              <w:r>
                <w:rPr>
                  <w:bCs/>
                  <w:szCs w:val="24"/>
                  <w:lang w:val="zh-CN"/>
                </w:rPr>
                <w:fldChar w:fldCharType="begin"/>
              </w:r>
              <w:r>
                <w:rPr>
                  <w:bCs/>
                  <w:szCs w:val="24"/>
                  <w:lang w:val="zh-CN"/>
                </w:rPr>
                <w:instrText xml:space="preserve"> HYPERLINK \l _Toc25471 </w:instrText>
              </w:r>
              <w:r>
                <w:rPr>
                  <w:bCs/>
                  <w:szCs w:val="24"/>
                  <w:lang w:val="zh-CN"/>
                </w:rPr>
                <w:fldChar w:fldCharType="separate"/>
              </w:r>
              <w:r>
                <w:rPr>
                  <w:rFonts w:hint="default" w:ascii="Times New Roman" w:hAnsi="Times New Roman" w:cs="Times New Roman" w:eastAsiaTheme="minorEastAsia"/>
                  <w:szCs w:val="28"/>
                  <w:lang w:val="en-US" w:eastAsia="zh-CN"/>
                </w:rPr>
                <w:t xml:space="preserve">五、 </w:t>
              </w:r>
              <w:r>
                <w:rPr>
                  <w:rFonts w:hint="eastAsia" w:ascii="Times New Roman" w:hAnsi="Times New Roman" w:cs="Times New Roman" w:eastAsiaTheme="minorEastAsia"/>
                  <w:szCs w:val="28"/>
                  <w:lang w:val="en-US" w:eastAsia="zh-CN"/>
                </w:rPr>
                <w:t>染色结果</w:t>
              </w:r>
              <w:r>
                <w:tab/>
              </w:r>
              <w:r>
                <w:fldChar w:fldCharType="begin"/>
              </w:r>
              <w:r>
                <w:instrText xml:space="preserve"> PAGEREF _Toc25471 \h </w:instrText>
              </w:r>
              <w:r>
                <w:fldChar w:fldCharType="separate"/>
              </w:r>
              <w:r>
                <w:t>10</w:t>
              </w:r>
              <w:r>
                <w:fldChar w:fldCharType="end"/>
              </w:r>
              <w:r>
                <w:rPr>
                  <w:bCs/>
                  <w:szCs w:val="24"/>
                  <w:lang w:val="zh-CN"/>
                </w:rPr>
                <w:fldChar w:fldCharType="end"/>
              </w:r>
            </w:p>
            <w:p>
              <w:pPr>
                <w:rPr>
                  <w:sz w:val="24"/>
                  <w:szCs w:val="24"/>
                </w:rPr>
              </w:pPr>
              <w:r>
                <w:rPr>
                  <w:bCs/>
                  <w:szCs w:val="24"/>
                  <w:lang w:val="zh-CN"/>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numPr>
          <w:ilvl w:val="0"/>
          <w:numId w:val="4"/>
        </w:numPr>
        <w:spacing w:before="240" w:beforeLines="100" w:after="120" w:afterLines="50" w:line="360" w:lineRule="auto"/>
        <w:rPr>
          <w:rFonts w:ascii="Times New Roman" w:hAnsi="Times New Roman" w:cs="Times New Roman" w:eastAsiaTheme="minorEastAsia"/>
          <w:color w:val="000000" w:themeColor="text1"/>
          <w:sz w:val="28"/>
          <w:szCs w:val="28"/>
          <w14:textFill>
            <w14:solidFill>
              <w14:schemeClr w14:val="tx1"/>
            </w14:solidFill>
          </w14:textFill>
        </w:rPr>
      </w:pPr>
      <w:bookmarkStart w:id="6" w:name="_Toc67061766"/>
      <w:bookmarkStart w:id="7" w:name="_Toc8389"/>
      <w:bookmarkStart w:id="8" w:name="_Toc67067673"/>
      <w:bookmarkStart w:id="9" w:name="_Toc54712428"/>
      <w:bookmarkStart w:id="10" w:name="_Toc85906420"/>
      <w:bookmarkStart w:id="11" w:name="_Toc509220866"/>
      <w:bookmarkStart w:id="12" w:name="_Toc149670078"/>
      <w:bookmarkStart w:id="13" w:name="_Toc40709121"/>
      <w:r>
        <w:rPr>
          <w:rFonts w:ascii="Times New Roman" w:hAnsi="Times New Roman" w:cs="Times New Roman" w:eastAsiaTheme="minorEastAsia"/>
          <w:color w:val="000000" w:themeColor="text1"/>
          <w:sz w:val="28"/>
          <w:szCs w:val="28"/>
          <w14:textFill>
            <w14:solidFill>
              <w14:schemeClr w14:val="tx1"/>
            </w14:solidFill>
          </w14:textFill>
        </w:rPr>
        <w:t>样本信息</w:t>
      </w:r>
      <w:bookmarkEnd w:id="6"/>
      <w:bookmarkEnd w:id="7"/>
      <w:bookmarkEnd w:id="8"/>
      <w:bookmarkEnd w:id="9"/>
      <w:bookmarkEnd w:id="10"/>
      <w:bookmarkEnd w:id="11"/>
      <w:bookmarkEnd w:id="12"/>
      <w:bookmarkEnd w:id="1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2384"/>
        <w:gridCol w:w="2384"/>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384" w:type="dxa"/>
            <w:tcBorders>
              <w:left w:val="nil"/>
              <w:right w:val="nil"/>
            </w:tcBorders>
            <w:vAlign w:val="center"/>
          </w:tcPr>
          <w:p>
            <w:pPr>
              <w:jc w:val="center"/>
              <w:rPr>
                <w:sz w:val="24"/>
                <w:szCs w:val="24"/>
              </w:rPr>
            </w:pPr>
            <w:r>
              <w:rPr>
                <w:rFonts w:hint="eastAsia"/>
                <w:sz w:val="24"/>
                <w:szCs w:val="24"/>
              </w:rPr>
              <w:t>样本编号</w:t>
            </w:r>
          </w:p>
        </w:tc>
        <w:tc>
          <w:tcPr>
            <w:tcW w:w="2384" w:type="dxa"/>
            <w:tcBorders>
              <w:left w:val="nil"/>
              <w:right w:val="nil"/>
            </w:tcBorders>
            <w:vAlign w:val="center"/>
          </w:tcPr>
          <w:p>
            <w:pPr>
              <w:jc w:val="center"/>
              <w:rPr>
                <w:sz w:val="24"/>
                <w:szCs w:val="24"/>
              </w:rPr>
            </w:pPr>
            <w:r>
              <w:rPr>
                <w:rFonts w:hint="eastAsia"/>
                <w:sz w:val="24"/>
                <w:szCs w:val="24"/>
              </w:rPr>
              <w:t>样本来源</w:t>
            </w:r>
          </w:p>
        </w:tc>
        <w:tc>
          <w:tcPr>
            <w:tcW w:w="2384" w:type="dxa"/>
            <w:tcBorders>
              <w:left w:val="nil"/>
              <w:right w:val="nil"/>
            </w:tcBorders>
            <w:vAlign w:val="center"/>
          </w:tcPr>
          <w:p>
            <w:pPr>
              <w:jc w:val="center"/>
              <w:rPr>
                <w:sz w:val="24"/>
                <w:szCs w:val="24"/>
              </w:rPr>
            </w:pPr>
            <w:r>
              <w:rPr>
                <w:rFonts w:hint="eastAsia"/>
                <w:sz w:val="24"/>
                <w:szCs w:val="24"/>
              </w:rPr>
              <w:t>样本类型</w:t>
            </w:r>
          </w:p>
        </w:tc>
        <w:tc>
          <w:tcPr>
            <w:tcW w:w="2384" w:type="dxa"/>
            <w:tcBorders>
              <w:left w:val="nil"/>
              <w:right w:val="nil"/>
            </w:tcBorders>
            <w:vAlign w:val="center"/>
          </w:tcPr>
          <w:p>
            <w:pPr>
              <w:jc w:val="center"/>
              <w:rPr>
                <w:sz w:val="24"/>
                <w:szCs w:val="24"/>
              </w:rPr>
            </w:pPr>
            <w:r>
              <w:rPr>
                <w:rFonts w:hint="eastAsia"/>
                <w:sz w:val="24"/>
                <w:szCs w:val="24"/>
              </w:rPr>
              <w:t>样本量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c>
          <w:tcPr>
            <w:tcW w:w="2384" w:type="dxa"/>
            <w:tcBorders>
              <w:left w:val="nil"/>
              <w:right w:val="nil"/>
            </w:tcBorders>
            <w:vAlign w:val="center"/>
          </w:tcPr>
          <w:p>
            <w:pPr>
              <w:jc w:val="center"/>
              <w:rPr>
                <w:sz w:val="24"/>
                <w:szCs w:val="24"/>
              </w:rPr>
            </w:pP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4" w:name="_Toc669"/>
      <w:bookmarkStart w:id="15" w:name="_Toc5015"/>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14"/>
      <w:bookmarkEnd w:id="15"/>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bookmarkStart w:id="16" w:name="_Toc3757"/>
      <w:r>
        <w:rPr>
          <w:rFonts w:hint="eastAsia" w:ascii="Times New Roman" w:hAnsi="Times New Roman" w:cs="Times New Roman" w:eastAsiaTheme="minorEastAsia"/>
          <w:kern w:val="1"/>
          <w:sz w:val="24"/>
          <w:szCs w:val="24"/>
          <w:lang w:val="en-US" w:eastAsia="zh-CN" w:bidi="ar-SA"/>
        </w:rPr>
        <w:t>免疫组化是免疫组织化学(immunohistochemistry, IHC)的简称，它是利用抗原抗体的特异性反应来定位组织和细胞中某种化学成分的一种组织化学方法。免疫组化能将形态学改变与功能和代谢变化结合起来，一方面保持了传统形态学对组织和细胞的观察客观、仔细的优点;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7" w:name="_Toc6156"/>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16"/>
      <w:bookmarkEnd w:id="1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18" w:name="_Toc2717"/>
      <w:bookmarkStart w:id="19" w:name="_Toc21130"/>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.1仪器</w:t>
      </w:r>
      <w:bookmarkEnd w:id="18"/>
      <w:bookmarkEnd w:id="19"/>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38"/>
        <w:gridCol w:w="3819"/>
        <w:gridCol w:w="2975"/>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436" w:type="pct"/>
            <w:tcBorders>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仪器名称</w:t>
            </w:r>
          </w:p>
        </w:tc>
        <w:tc>
          <w:tcPr>
            <w:tcW w:w="2003" w:type="pct"/>
            <w:tcBorders>
              <w:left w:val="nil"/>
              <w:bottom w:val="single" w:color="000000"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品牌</w:t>
            </w:r>
          </w:p>
        </w:tc>
        <w:tc>
          <w:tcPr>
            <w:tcW w:w="1560" w:type="pct"/>
            <w:tcBorders>
              <w:left w:val="nil"/>
              <w:bottom w:val="single" w:color="000000"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型号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single" w:color="000000" w:sz="8" w:space="0"/>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脱色摇床</w:t>
            </w:r>
          </w:p>
        </w:tc>
        <w:tc>
          <w:tcPr>
            <w:tcW w:w="2003" w:type="pct"/>
            <w:tcBorders>
              <w:top w:val="single" w:color="000000" w:sz="8" w:space="0"/>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single" w:color="000000" w:sz="8" w:space="0"/>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TSY-B</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涡旋混合器</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MX-F</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掌上离心机</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谷歌生物</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D1008E</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移液枪</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Dragon</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KE0003087/KA0056573</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组化笔</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Gene tech</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t>GT1001</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冰箱</w:t>
            </w:r>
          </w:p>
        </w:tc>
        <w:tc>
          <w:tcPr>
            <w:tcW w:w="2003"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青岛海尔股份有限公司</w:t>
            </w:r>
          </w:p>
        </w:tc>
        <w:tc>
          <w:tcPr>
            <w:tcW w:w="1560"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BCD-192TGN</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0" w:name="_Toc10658"/>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正置光学显微镜</w:t>
            </w:r>
          </w:p>
        </w:tc>
        <w:tc>
          <w:tcPr>
            <w:tcW w:w="2003"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Leica</w:t>
            </w:r>
          </w:p>
        </w:tc>
        <w:tc>
          <w:tcPr>
            <w:tcW w:w="1560"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DM500</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124" w:hRule="atLeast"/>
          <w:jc w:val="center"/>
        </w:trPr>
        <w:tc>
          <w:tcPr>
            <w:tcW w:w="1436" w:type="pct"/>
            <w:tcBorders>
              <w:top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烤箱</w:t>
            </w:r>
          </w:p>
        </w:tc>
        <w:tc>
          <w:tcPr>
            <w:tcW w:w="2003" w:type="pct"/>
            <w:tcBorders>
              <w:top w:val="nil"/>
              <w:left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绍兴泸越</w:t>
            </w:r>
          </w:p>
        </w:tc>
        <w:tc>
          <w:tcPr>
            <w:tcW w:w="1560" w:type="pct"/>
            <w:tcBorders>
              <w:top w:val="nil"/>
              <w:lef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101-3B</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1" w:name="_Toc28577"/>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.2试剂</w:t>
      </w:r>
      <w:bookmarkEnd w:id="20"/>
      <w:bookmarkEnd w:id="21"/>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PBS缓冲液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G0002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4%多聚甲醛</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BL539A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bookmarkStart w:id="22" w:name="_Toc17607"/>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山羊血清</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索莱宝</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SL038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一抗：</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c>
          <w:tcPr>
            <w:tcW w:w="1542" w:type="pct"/>
            <w:tcBorders>
              <w:top w:val="nil"/>
              <w:left w:val="nil"/>
              <w:bottom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二抗：</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组化试剂盒DAB显色剂</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中杉金桥</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ZLI-9018</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破膜液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biosharp</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BS084-100ml</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无水乙醇（AR）</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05.001.0170A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苏木素染液</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servicebio</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G1004</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盐酸</w:t>
            </w:r>
          </w:p>
        </w:tc>
        <w:tc>
          <w:tcPr>
            <w:tcW w:w="2000" w:type="pct"/>
            <w:tcBorders>
              <w:top w:val="nil"/>
              <w:left w:val="nil"/>
              <w:bottom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05.001.1337A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氨水</w:t>
            </w:r>
          </w:p>
        </w:tc>
        <w:tc>
          <w:tcPr>
            <w:tcW w:w="2000" w:type="pct"/>
            <w:tcBorders>
              <w:top w:val="nil"/>
              <w:left w:val="nil"/>
              <w:bottom w:val="nil"/>
              <w:right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成都科隆</w:t>
            </w:r>
          </w:p>
        </w:tc>
        <w:tc>
          <w:tcPr>
            <w:tcW w:w="1542" w:type="pct"/>
            <w:tcBorders>
              <w:top w:val="nil"/>
              <w:left w:val="nil"/>
              <w:bottom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05.001.2528A</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中性树胶</w:t>
            </w:r>
          </w:p>
        </w:tc>
        <w:tc>
          <w:tcPr>
            <w:tcW w:w="2000" w:type="pct"/>
            <w:tcBorders>
              <w:top w:val="nil"/>
              <w:left w:val="nil"/>
              <w:righ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上海懿洋</w:t>
            </w:r>
          </w:p>
        </w:tc>
        <w:tc>
          <w:tcPr>
            <w:tcW w:w="1542" w:type="pct"/>
            <w:tcBorders>
              <w:top w:val="nil"/>
              <w:left w:val="nil"/>
            </w:tcBorders>
            <w:vAlign w:val="center"/>
          </w:tcPr>
          <w:p>
            <w:pPr>
              <w:spacing w:after="50" w:line="360" w:lineRule="auto"/>
              <w:jc w:val="cente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YSQN41-91</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bookmarkStart w:id="23" w:name="_Toc15323"/>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.3耗材</w:t>
      </w:r>
      <w:bookmarkEnd w:id="22"/>
      <w:bookmarkEnd w:id="23"/>
    </w:p>
    <w:tbl>
      <w:tblPr>
        <w:tblStyle w:val="15"/>
        <w:tblW w:w="4998" w:type="pct"/>
        <w:jc w:val="center"/>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Layout w:type="autofit"/>
        <w:tblCellMar>
          <w:top w:w="0" w:type="dxa"/>
          <w:left w:w="108" w:type="dxa"/>
          <w:bottom w:w="0" w:type="dxa"/>
          <w:right w:w="108" w:type="dxa"/>
        </w:tblCellMar>
      </w:tblPr>
      <w:tblGrid>
        <w:gridCol w:w="2777"/>
        <w:gridCol w:w="3814"/>
        <w:gridCol w:w="2941"/>
      </w:tblGrid>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名称</w:t>
            </w:r>
          </w:p>
        </w:tc>
        <w:tc>
          <w:tcPr>
            <w:tcW w:w="2000" w:type="pct"/>
            <w:tcBorders>
              <w:left w:val="nil"/>
              <w:bottom w:val="single" w:color="000000" w:themeColor="text1" w:sz="8" w:space="0"/>
              <w:right w:val="nil"/>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厂家</w:t>
            </w:r>
          </w:p>
        </w:tc>
        <w:tc>
          <w:tcPr>
            <w:tcW w:w="1542" w:type="pct"/>
            <w:tcBorders>
              <w:left w:val="nil"/>
              <w:bottom w:val="single" w:color="000000" w:themeColor="text1" w:sz="8" w:space="0"/>
            </w:tcBorders>
            <w:vAlign w:val="center"/>
          </w:tcPr>
          <w:p>
            <w:pPr>
              <w:spacing w:after="50" w:line="360" w:lineRule="auto"/>
              <w:jc w:val="cente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货号</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single" w:color="000000" w:themeColor="text1" w:sz="8" w:space="0"/>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粘附性载玻片</w:t>
            </w:r>
          </w:p>
        </w:tc>
        <w:tc>
          <w:tcPr>
            <w:tcW w:w="2000" w:type="pct"/>
            <w:tcBorders>
              <w:top w:val="single" w:color="000000" w:themeColor="text1" w:sz="8" w:space="0"/>
              <w:left w:val="nil"/>
              <w:bottom w:val="nil"/>
              <w:right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single" w:color="000000" w:themeColor="text1" w:sz="8" w:space="0"/>
              <w:left w:val="nil"/>
              <w:bottom w:val="nil"/>
            </w:tcBorders>
            <w:shd w:val="clear" w:color="auto" w:fill="FDEADA" w:themeFill="accent6" w:themeFillTint="32"/>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80312/80302</w:t>
            </w:r>
          </w:p>
        </w:tc>
      </w:tr>
      <w:tr>
        <w:tblPrEx>
          <w:tblBorders>
            <w:top w:val="single" w:color="F79646" w:sz="4" w:space="0"/>
            <w:left w:val="single" w:color="F79646" w:sz="4" w:space="0"/>
            <w:bottom w:val="single" w:color="F79646" w:sz="4" w:space="0"/>
            <w:right w:val="single" w:color="F79646"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56" w:type="pct"/>
            <w:tcBorders>
              <w:top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显微镜盖玻片</w:t>
            </w:r>
          </w:p>
        </w:tc>
        <w:tc>
          <w:tcPr>
            <w:tcW w:w="2000" w:type="pct"/>
            <w:tcBorders>
              <w:top w:val="nil"/>
              <w:left w:val="nil"/>
              <w:righ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江苏世泰</w:t>
            </w:r>
          </w:p>
        </w:tc>
        <w:tc>
          <w:tcPr>
            <w:tcW w:w="1542" w:type="pct"/>
            <w:tcBorders>
              <w:top w:val="nil"/>
              <w:left w:val="nil"/>
            </w:tcBorders>
            <w:vAlign w:val="center"/>
          </w:tcPr>
          <w:p>
            <w:pPr>
              <w:spacing w:after="50" w:line="360" w:lineRule="auto"/>
              <w:jc w:val="cente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80340-1630</w:t>
            </w:r>
          </w:p>
        </w:tc>
      </w:tr>
    </w:tbl>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4" w:name="_Toc4385"/>
      <w:bookmarkStart w:id="25" w:name="_Toc14512"/>
      <w:bookmarkStart w:id="26" w:name="_Toc6790"/>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24"/>
      <w:bookmarkEnd w:id="25"/>
      <w:bookmarkEnd w:id="26"/>
      <w:bookmarkStart w:id="27" w:name="_Toc17182"/>
      <w:bookmarkStart w:id="28" w:name="_Toc27275"/>
      <w:bookmarkStart w:id="29" w:name="_Toc8714"/>
      <w:bookmarkStart w:id="30" w:name="_Toc9168"/>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4.1</w:t>
      </w:r>
      <w:bookmarkEnd w:id="27"/>
      <w:r>
        <w:rPr>
          <w:rFonts w:hint="eastAsia" w:ascii="Times New Roman" w:hAnsi="Times New Roman" w:cs="Times New Roman" w:eastAsiaTheme="minorEastAsia"/>
          <w:kern w:val="1"/>
          <w:sz w:val="24"/>
          <w:szCs w:val="24"/>
          <w:lang w:val="en-US" w:eastAsia="zh-CN" w:bidi="ar-SA"/>
        </w:rPr>
        <w:t>细胞破膜：加入PBS</w:t>
      </w:r>
      <w:r>
        <w:rPr>
          <w:rFonts w:hint="eastAsia" w:ascii="Times New Roman" w:hAnsi="Times New Roman" w:cs="Times New Roman" w:eastAsiaTheme="minorEastAsia"/>
          <w:kern w:val="1"/>
          <w:sz w:val="24"/>
          <w:szCs w:val="24"/>
          <w:lang w:val="zh-CN" w:eastAsia="zh-CN" w:bidi="ar-SA"/>
        </w:rPr>
        <w:t>在脱色摇床上晃动洗涤</w:t>
      </w:r>
      <w:r>
        <w:rPr>
          <w:rFonts w:hint="eastAsia" w:ascii="Times New Roman" w:hAnsi="Times New Roman" w:cs="Times New Roman" w:eastAsiaTheme="minorEastAsia"/>
          <w:kern w:val="1"/>
          <w:sz w:val="24"/>
          <w:szCs w:val="24"/>
          <w:lang w:val="en-US" w:eastAsia="zh-CN" w:bidi="ar-SA"/>
        </w:rPr>
        <w:t>3次，每次5min，爬片稍甩干后用组化笔在盖玻片中间细胞分布均匀的位置画圈（防止抗体流走），</w:t>
      </w:r>
      <w:r>
        <w:rPr>
          <w:rFonts w:hint="eastAsia" w:ascii="Times New Roman" w:hAnsi="Times New Roman" w:cs="Times New Roman" w:eastAsiaTheme="minorEastAsia"/>
          <w:kern w:val="1"/>
          <w:sz w:val="24"/>
          <w:szCs w:val="24"/>
          <w:lang w:val="zh-CN" w:eastAsia="zh-CN" w:bidi="ar-SA"/>
        </w:rPr>
        <w:t>加</w:t>
      </w:r>
      <w:r>
        <w:rPr>
          <w:rFonts w:hint="eastAsia" w:ascii="Times New Roman" w:hAnsi="Times New Roman" w:cs="Times New Roman" w:eastAsiaTheme="minorEastAsia"/>
          <w:kern w:val="1"/>
          <w:sz w:val="24"/>
          <w:szCs w:val="24"/>
          <w:lang w:val="en-US" w:eastAsia="zh-CN" w:bidi="ar-SA"/>
        </w:rPr>
        <w:t>50-100</w:t>
      </w:r>
      <w:r>
        <w:rPr>
          <w:rFonts w:hint="eastAsia" w:ascii="Times New Roman" w:hAnsi="Times New Roman" w:cs="Times New Roman" w:eastAsiaTheme="minorEastAsia"/>
          <w:kern w:val="1"/>
          <w:sz w:val="24"/>
          <w:szCs w:val="24"/>
          <w:lang w:val="zh-CN" w:eastAsia="zh-CN" w:bidi="ar-SA"/>
        </w:rPr>
        <w:t>μ</w:t>
      </w:r>
      <w:r>
        <w:rPr>
          <w:rFonts w:hint="eastAsia" w:ascii="Times New Roman" w:hAnsi="Times New Roman" w:cs="Times New Roman" w:eastAsiaTheme="minorEastAsia"/>
          <w:kern w:val="1"/>
          <w:sz w:val="24"/>
          <w:szCs w:val="24"/>
          <w:lang w:val="en-US" w:eastAsia="zh-CN" w:bidi="ar-SA"/>
        </w:rPr>
        <w:t>l</w:t>
      </w:r>
      <w:r>
        <w:rPr>
          <w:rFonts w:hint="eastAsia" w:ascii="Times New Roman" w:hAnsi="Times New Roman" w:cs="Times New Roman" w:eastAsiaTheme="minorEastAsia"/>
          <w:kern w:val="1"/>
          <w:sz w:val="24"/>
          <w:szCs w:val="24"/>
          <w:lang w:val="zh-CN" w:eastAsia="zh-CN" w:bidi="ar-SA"/>
        </w:rPr>
        <w:t>破膜工作液</w:t>
      </w:r>
      <w:r>
        <w:rPr>
          <w:rFonts w:hint="eastAsia" w:ascii="Times New Roman" w:hAnsi="Times New Roman" w:cs="Times New Roman" w:eastAsiaTheme="minorEastAsia"/>
          <w:kern w:val="1"/>
          <w:sz w:val="24"/>
          <w:szCs w:val="24"/>
          <w:lang w:val="en-US" w:eastAsia="zh-CN" w:bidi="ar-SA"/>
        </w:rPr>
        <w:t>，室</w:t>
      </w:r>
      <w:r>
        <w:rPr>
          <w:rFonts w:hint="eastAsia" w:ascii="Times New Roman" w:hAnsi="Times New Roman" w:cs="Times New Roman" w:eastAsiaTheme="minorEastAsia"/>
          <w:kern w:val="1"/>
          <w:sz w:val="24"/>
          <w:szCs w:val="24"/>
          <w:lang w:val="zh-CN" w:eastAsia="zh-CN" w:bidi="ar-SA"/>
        </w:rPr>
        <w:t>温孵育</w:t>
      </w:r>
      <w:r>
        <w:rPr>
          <w:rFonts w:hint="eastAsia" w:ascii="Times New Roman" w:hAnsi="Times New Roman" w:cs="Times New Roman" w:eastAsiaTheme="minorEastAsia"/>
          <w:kern w:val="1"/>
          <w:sz w:val="24"/>
          <w:szCs w:val="24"/>
          <w:lang w:val="en-US" w:eastAsia="zh-CN" w:bidi="ar-SA"/>
        </w:rPr>
        <w:t>20min，PBS</w:t>
      </w:r>
      <w:r>
        <w:rPr>
          <w:rFonts w:hint="eastAsia" w:ascii="Times New Roman" w:hAnsi="Times New Roman" w:cs="Times New Roman" w:eastAsiaTheme="minorEastAsia"/>
          <w:kern w:val="1"/>
          <w:sz w:val="24"/>
          <w:szCs w:val="24"/>
          <w:lang w:val="zh-CN" w:eastAsia="zh-CN" w:bidi="ar-SA"/>
        </w:rPr>
        <w:t>洗</w:t>
      </w:r>
      <w:r>
        <w:rPr>
          <w:rFonts w:hint="eastAsia" w:ascii="Times New Roman" w:hAnsi="Times New Roman" w:cs="Times New Roman" w:eastAsiaTheme="minorEastAsia"/>
          <w:kern w:val="1"/>
          <w:sz w:val="24"/>
          <w:szCs w:val="24"/>
          <w:lang w:val="en-US" w:eastAsia="zh-CN" w:bidi="ar-SA"/>
        </w:rPr>
        <w:t>3</w:t>
      </w:r>
      <w:r>
        <w:rPr>
          <w:rFonts w:hint="eastAsia" w:ascii="Times New Roman" w:hAnsi="Times New Roman" w:cs="Times New Roman" w:eastAsiaTheme="minorEastAsia"/>
          <w:kern w:val="1"/>
          <w:sz w:val="24"/>
          <w:szCs w:val="24"/>
          <w:lang w:val="zh-CN" w:eastAsia="zh-CN" w:bidi="ar-SA"/>
        </w:rPr>
        <w:t>次</w:t>
      </w:r>
      <w:r>
        <w:rPr>
          <w:rFonts w:hint="eastAsia"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zh-CN" w:eastAsia="zh-CN" w:bidi="ar-SA"/>
        </w:rPr>
        <w:t>每次</w:t>
      </w:r>
      <w:r>
        <w:rPr>
          <w:rFonts w:hint="eastAsia" w:ascii="Times New Roman" w:hAnsi="Times New Roman" w:cs="Times New Roman" w:eastAsiaTheme="minorEastAsia"/>
          <w:kern w:val="1"/>
          <w:sz w:val="24"/>
          <w:szCs w:val="24"/>
          <w:lang w:val="en-US" w:eastAsia="zh-CN" w:bidi="ar-SA"/>
        </w:rPr>
        <w:t>5 min</w:t>
      </w:r>
      <w:r>
        <w:rPr>
          <w:rFonts w:hint="eastAsia" w:ascii="Times New Roman" w:hAnsi="Times New Roman" w:cs="Times New Roman" w:eastAsiaTheme="minorEastAsia"/>
          <w:kern w:val="1"/>
          <w:sz w:val="24"/>
          <w:szCs w:val="24"/>
          <w:lang w:val="zh-CN" w:eastAsia="zh-CN" w:bidi="ar-SA"/>
        </w:rPr>
        <w:t>。</w:t>
      </w:r>
    </w:p>
    <w:bookmarkEnd w:id="28"/>
    <w:bookmarkEnd w:id="29"/>
    <w:bookmarkEnd w:id="30"/>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4.2血清封闭，轻轻甩掉封闭液，在细胞孔板里滴加封闭用正常山羊血清工作液均匀覆盖组织，室温封闭30min。</w:t>
      </w:r>
      <w:bookmarkStart w:id="31" w:name="_Toc21139"/>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.3</w:t>
      </w:r>
      <w:bookmarkEnd w:id="31"/>
      <w:r>
        <w:rPr>
          <w:rFonts w:hint="eastAsia" w:ascii="Times New Roman" w:hAnsi="Times New Roman" w:cs="Times New Roman" w:eastAsiaTheme="minorEastAsia"/>
          <w:kern w:val="1"/>
          <w:sz w:val="24"/>
          <w:szCs w:val="24"/>
          <w:lang w:val="en-US" w:eastAsia="zh-CN" w:bidi="ar-SA"/>
        </w:rPr>
        <w:t>孵育一抗，</w:t>
      </w:r>
      <w:r>
        <w:rPr>
          <w:rFonts w:hint="eastAsia" w:ascii="Times New Roman" w:hAnsi="Times New Roman" w:cs="Times New Roman" w:eastAsiaTheme="minorEastAsia"/>
          <w:kern w:val="1"/>
          <w:sz w:val="24"/>
          <w:szCs w:val="24"/>
          <w:lang w:val="zh-CN" w:eastAsia="zh-CN" w:bidi="ar-SA"/>
        </w:rPr>
        <w:t>轻轻甩掉封闭液，</w:t>
      </w:r>
      <w:r>
        <w:rPr>
          <w:rFonts w:hint="eastAsia" w:ascii="Times New Roman" w:hAnsi="Times New Roman" w:cs="Times New Roman" w:eastAsiaTheme="minorEastAsia"/>
          <w:kern w:val="1"/>
          <w:sz w:val="24"/>
          <w:szCs w:val="24"/>
          <w:lang w:val="en-US" w:eastAsia="zh-CN" w:bidi="ar-SA"/>
        </w:rPr>
        <w:t>在细胞孔板里</w:t>
      </w:r>
      <w:r>
        <w:rPr>
          <w:rFonts w:hint="eastAsia" w:ascii="Times New Roman" w:hAnsi="Times New Roman" w:cs="Times New Roman" w:eastAsiaTheme="minorEastAsia"/>
          <w:kern w:val="1"/>
          <w:sz w:val="24"/>
          <w:szCs w:val="24"/>
          <w:lang w:val="zh-CN" w:eastAsia="zh-CN" w:bidi="ar-SA"/>
        </w:rPr>
        <w:t>滴加PBS按一定比例配好的一抗，切片平放于湿盒内4°C孵育过夜。（湿盒内加少量水防止抗体蒸发）</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2" w:name="_Toc13856"/>
            <w:r>
              <w:rPr>
                <w:rFonts w:hint="eastAsia" w:ascii="Calibri" w:hAnsi="Calibri" w:eastAsia="宋体" w:cs="Times New Roman"/>
                <w:bCs/>
                <w:sz w:val="24"/>
                <w:lang w:val="en-US" w:eastAsia="zh-CN"/>
              </w:rPr>
              <w:t>名称</w:t>
            </w:r>
            <w:bookmarkEnd w:id="32"/>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3" w:name="_Toc8352"/>
            <w:r>
              <w:rPr>
                <w:rFonts w:hint="eastAsia" w:ascii="Calibri" w:hAnsi="Calibri" w:eastAsia="宋体" w:cs="Times New Roman"/>
                <w:bCs/>
                <w:sz w:val="24"/>
                <w:lang w:val="en-US" w:eastAsia="zh-CN"/>
              </w:rPr>
              <w:t>稀释比</w:t>
            </w:r>
            <w:bookmarkEnd w:id="33"/>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4" w:name="_Toc15579"/>
            <w:r>
              <w:rPr>
                <w:rFonts w:hint="eastAsia" w:ascii="Calibri" w:hAnsi="Calibri" w:eastAsia="宋体" w:cs="Times New Roman"/>
                <w:bCs/>
                <w:sz w:val="24"/>
                <w:lang w:val="en-US" w:eastAsia="zh-CN"/>
              </w:rPr>
              <w:t>品牌</w:t>
            </w:r>
            <w:bookmarkEnd w:id="34"/>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35" w:name="_Toc23657"/>
            <w:r>
              <w:rPr>
                <w:rFonts w:hint="eastAsia" w:ascii="Calibri" w:hAnsi="Calibri" w:eastAsia="宋体" w:cs="Times New Roman"/>
                <w:bCs/>
                <w:sz w:val="24"/>
                <w:lang w:val="en-US" w:eastAsia="zh-CN"/>
              </w:rPr>
              <w:t>货号</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36" w:name="_Toc19122"/>
            <w:r>
              <w:rPr>
                <w:rFonts w:hint="eastAsia" w:ascii="Calibri" w:hAnsi="Calibri" w:eastAsia="宋体" w:cs="Times New Roman"/>
                <w:bCs/>
                <w:sz w:val="24"/>
                <w:lang w:val="en-US" w:eastAsia="zh-CN"/>
              </w:rPr>
              <w:t>/</w:t>
            </w:r>
            <w:bookmarkEnd w:id="36"/>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37" w:name="_Toc23531"/>
            <w:r>
              <w:rPr>
                <w:rFonts w:hint="eastAsia" w:ascii="Calibri" w:hAnsi="Calibri" w:eastAsia="宋体" w:cs="Times New Roman"/>
                <w:bCs/>
                <w:sz w:val="24"/>
                <w:lang w:val="en-US" w:eastAsia="zh-CN"/>
              </w:rPr>
              <w:t>/</w:t>
            </w:r>
            <w:bookmarkEnd w:id="37"/>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38" w:name="_Toc2868"/>
            <w:r>
              <w:rPr>
                <w:rFonts w:hint="eastAsia" w:ascii="Calibri" w:hAnsi="Calibri" w:eastAsia="宋体" w:cs="Times New Roman"/>
                <w:bCs/>
                <w:sz w:val="24"/>
                <w:lang w:val="en-US" w:eastAsia="zh-CN"/>
              </w:rPr>
              <w:t>/</w:t>
            </w:r>
            <w:bookmarkEnd w:id="38"/>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39" w:name="_Toc12014"/>
            <w:r>
              <w:rPr>
                <w:rFonts w:hint="eastAsia" w:ascii="Calibri" w:hAnsi="Calibri" w:eastAsia="宋体" w:cs="Times New Roman"/>
                <w:bCs/>
                <w:sz w:val="24"/>
                <w:lang w:val="en-US" w:eastAsia="zh-CN"/>
              </w:rPr>
              <w:t>/</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0" w:name="_Toc24497"/>
            <w:r>
              <w:rPr>
                <w:rFonts w:hint="eastAsia" w:ascii="Calibri" w:hAnsi="Calibri" w:eastAsia="宋体" w:cs="Times New Roman"/>
                <w:bCs/>
                <w:sz w:val="24"/>
                <w:lang w:val="en-US" w:eastAsia="zh-CN"/>
              </w:rPr>
              <w:t>/</w:t>
            </w:r>
            <w:bookmarkEnd w:id="40"/>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1" w:name="_Toc10112"/>
            <w:r>
              <w:rPr>
                <w:rFonts w:hint="eastAsia" w:ascii="Calibri" w:hAnsi="Calibri" w:eastAsia="宋体" w:cs="Times New Roman"/>
                <w:bCs/>
                <w:sz w:val="24"/>
                <w:lang w:val="en-US" w:eastAsia="zh-CN"/>
              </w:rPr>
              <w:t>/</w:t>
            </w:r>
            <w:bookmarkEnd w:id="41"/>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2" w:name="_Toc30717"/>
            <w:r>
              <w:rPr>
                <w:rFonts w:hint="eastAsia" w:ascii="Calibri" w:hAnsi="Calibri" w:eastAsia="宋体" w:cs="Times New Roman"/>
                <w:bCs/>
                <w:sz w:val="24"/>
                <w:lang w:val="en-US" w:eastAsia="zh-CN"/>
              </w:rPr>
              <w:t>/</w:t>
            </w:r>
            <w:bookmarkEnd w:id="42"/>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3" w:name="_Toc11322"/>
            <w:r>
              <w:rPr>
                <w:rFonts w:hint="eastAsia" w:ascii="Calibri" w:hAnsi="Calibri" w:eastAsia="宋体" w:cs="Times New Roman"/>
                <w:bCs/>
                <w:sz w:val="24"/>
                <w:lang w:val="en-US" w:eastAsia="zh-CN"/>
              </w:rPr>
              <w:t>/</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4" w:name="_Toc1553"/>
            <w:r>
              <w:rPr>
                <w:rFonts w:hint="eastAsia" w:ascii="Calibri" w:hAnsi="Calibri" w:eastAsia="宋体" w:cs="Times New Roman"/>
                <w:bCs/>
                <w:sz w:val="24"/>
                <w:lang w:val="en-US" w:eastAsia="zh-CN"/>
              </w:rPr>
              <w:t>/</w:t>
            </w:r>
            <w:bookmarkEnd w:id="44"/>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5" w:name="_Toc7636"/>
            <w:r>
              <w:rPr>
                <w:rFonts w:hint="eastAsia" w:ascii="Calibri" w:hAnsi="Calibri" w:eastAsia="宋体" w:cs="Times New Roman"/>
                <w:bCs/>
                <w:sz w:val="24"/>
                <w:lang w:val="en-US" w:eastAsia="zh-CN"/>
              </w:rPr>
              <w:t>/</w:t>
            </w:r>
            <w:bookmarkEnd w:id="45"/>
          </w:p>
        </w:tc>
        <w:tc>
          <w:tcPr>
            <w:tcW w:w="1907"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6" w:name="_Toc3044"/>
            <w:r>
              <w:rPr>
                <w:rFonts w:hint="eastAsia" w:ascii="Calibri" w:hAnsi="Calibri" w:eastAsia="宋体" w:cs="Times New Roman"/>
                <w:bCs/>
                <w:sz w:val="24"/>
                <w:lang w:val="en-US" w:eastAsia="zh-CN"/>
              </w:rPr>
              <w:t>/</w:t>
            </w:r>
            <w:bookmarkEnd w:id="46"/>
          </w:p>
        </w:tc>
        <w:tc>
          <w:tcPr>
            <w:tcW w:w="2496" w:type="dxa"/>
            <w:tcBorders>
              <w:top w:val="nil"/>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7" w:name="_Toc29210"/>
            <w:r>
              <w:rPr>
                <w:rFonts w:hint="eastAsia" w:ascii="Calibri" w:hAnsi="Calibri" w:eastAsia="宋体" w:cs="Times New Roman"/>
                <w:bCs/>
                <w:sz w:val="24"/>
                <w:lang w:val="en-US" w:eastAsia="zh-CN"/>
              </w:rPr>
              <w:t>/</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8" w:name="_Toc31994"/>
            <w:r>
              <w:rPr>
                <w:rFonts w:hint="eastAsia" w:ascii="Calibri" w:hAnsi="Calibri" w:eastAsia="宋体" w:cs="Times New Roman"/>
                <w:bCs/>
                <w:sz w:val="24"/>
                <w:lang w:val="en-US" w:eastAsia="zh-CN"/>
              </w:rPr>
              <w:t>/</w:t>
            </w:r>
            <w:bookmarkEnd w:id="48"/>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49" w:name="_Toc30653"/>
            <w:r>
              <w:rPr>
                <w:rFonts w:hint="eastAsia" w:ascii="Calibri" w:hAnsi="Calibri" w:eastAsia="宋体" w:cs="Times New Roman"/>
                <w:bCs/>
                <w:sz w:val="24"/>
                <w:lang w:val="en-US" w:eastAsia="zh-CN"/>
              </w:rPr>
              <w:t>/</w:t>
            </w:r>
            <w:bookmarkEnd w:id="49"/>
          </w:p>
        </w:tc>
        <w:tc>
          <w:tcPr>
            <w:tcW w:w="1907"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0" w:name="_Toc31098"/>
            <w:r>
              <w:rPr>
                <w:rFonts w:hint="eastAsia" w:ascii="Calibri" w:hAnsi="Calibri" w:eastAsia="宋体" w:cs="Times New Roman"/>
                <w:bCs/>
                <w:sz w:val="24"/>
                <w:lang w:val="en-US" w:eastAsia="zh-CN"/>
              </w:rPr>
              <w:t>/</w:t>
            </w:r>
            <w:bookmarkEnd w:id="50"/>
          </w:p>
        </w:tc>
        <w:tc>
          <w:tcPr>
            <w:tcW w:w="2496" w:type="dxa"/>
            <w:tcBorders>
              <w:top w:val="nil"/>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1" w:name="_Toc4514"/>
            <w:r>
              <w:rPr>
                <w:rFonts w:hint="eastAsia" w:ascii="Calibri" w:hAnsi="Calibri" w:eastAsia="宋体" w:cs="Times New Roman"/>
                <w:bCs/>
                <w:sz w:val="24"/>
                <w:lang w:val="en-US" w:eastAsia="zh-CN"/>
              </w:rPr>
              <w:t>/</w:t>
            </w:r>
            <w:bookmarkEnd w:id="51"/>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bookmarkStart w:id="52" w:name="_Toc17436"/>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bookmarkEnd w:id="52"/>
      <w:r>
        <w:rPr>
          <w:rFonts w:hint="eastAsia" w:ascii="Times New Roman" w:hAnsi="Times New Roman" w:cs="Times New Roman" w:eastAsiaTheme="minorEastAsia"/>
          <w:kern w:val="1"/>
          <w:sz w:val="24"/>
          <w:szCs w:val="24"/>
          <w:lang w:val="en-US" w:eastAsia="zh-CN" w:bidi="ar-SA"/>
        </w:rPr>
        <w:t>4孵育二抗，加入</w:t>
      </w:r>
      <w:r>
        <w:rPr>
          <w:rFonts w:hint="eastAsia" w:ascii="Times New Roman" w:hAnsi="Times New Roman" w:cs="Times New Roman" w:eastAsiaTheme="minorEastAsia"/>
          <w:kern w:val="1"/>
          <w:sz w:val="24"/>
          <w:szCs w:val="24"/>
          <w:lang w:val="zh-CN" w:eastAsia="zh-CN" w:bidi="ar-SA"/>
        </w:rPr>
        <w:t>PBS（PH7.4）在脱色摇床上晃动洗涤3次，每次5min。</w:t>
      </w:r>
      <w:r>
        <w:rPr>
          <w:rFonts w:hint="eastAsia" w:ascii="Times New Roman" w:hAnsi="Times New Roman" w:cs="Times New Roman" w:eastAsiaTheme="minorEastAsia"/>
          <w:kern w:val="1"/>
          <w:sz w:val="24"/>
          <w:szCs w:val="24"/>
          <w:lang w:val="en-US" w:eastAsia="zh-CN" w:bidi="ar-SA"/>
        </w:rPr>
        <w:t>在细胞孔板里加入</w:t>
      </w:r>
      <w:r>
        <w:rPr>
          <w:rFonts w:hint="eastAsia" w:ascii="Times New Roman" w:hAnsi="Times New Roman" w:cs="Times New Roman" w:eastAsiaTheme="minorEastAsia"/>
          <w:kern w:val="1"/>
          <w:sz w:val="24"/>
          <w:szCs w:val="24"/>
          <w:lang w:val="zh-CN" w:eastAsia="zh-CN" w:bidi="ar-SA"/>
        </w:rPr>
        <w:t>与一抗相应种属的二抗（</w:t>
      </w:r>
      <w:r>
        <w:rPr>
          <w:rFonts w:hint="eastAsia" w:ascii="Times New Roman" w:hAnsi="Times New Roman" w:cs="Times New Roman" w:eastAsiaTheme="minorEastAsia"/>
          <w:kern w:val="1"/>
          <w:sz w:val="24"/>
          <w:szCs w:val="24"/>
          <w:lang w:val="en-US" w:eastAsia="zh-CN" w:bidi="ar-SA"/>
        </w:rPr>
        <w:t>HRP</w:t>
      </w:r>
      <w:r>
        <w:rPr>
          <w:rFonts w:hint="eastAsia" w:ascii="Times New Roman" w:hAnsi="Times New Roman" w:cs="Times New Roman" w:eastAsiaTheme="minorEastAsia"/>
          <w:kern w:val="1"/>
          <w:sz w:val="24"/>
          <w:szCs w:val="24"/>
          <w:lang w:val="zh-CN" w:eastAsia="zh-CN" w:bidi="ar-SA"/>
        </w:rPr>
        <w:t>标记）覆盖组织，室温孵育50min，</w:t>
      </w:r>
      <w:r>
        <w:rPr>
          <w:rFonts w:hint="eastAsia" w:ascii="Times New Roman" w:hAnsi="Times New Roman" w:cs="Times New Roman" w:eastAsiaTheme="minorEastAsia"/>
          <w:kern w:val="1"/>
          <w:sz w:val="24"/>
          <w:szCs w:val="24"/>
          <w:lang w:val="en-US" w:eastAsia="zh-CN" w:bidi="ar-SA"/>
        </w:rPr>
        <w:t>加入</w:t>
      </w:r>
      <w:r>
        <w:rPr>
          <w:rFonts w:hint="eastAsia" w:ascii="Times New Roman" w:hAnsi="Times New Roman" w:cs="Times New Roman" w:eastAsiaTheme="minorEastAsia"/>
          <w:kern w:val="1"/>
          <w:sz w:val="24"/>
          <w:szCs w:val="24"/>
          <w:lang w:val="zh-CN" w:eastAsia="zh-CN" w:bidi="ar-SA"/>
        </w:rPr>
        <w:t>PBS（PH7.4）在脱色摇床上晃动洗涤3次，每次5min。</w:t>
      </w:r>
    </w:p>
    <w:tbl>
      <w:tblPr>
        <w:tblStyle w:val="16"/>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125"/>
        <w:gridCol w:w="1907"/>
        <w:gridCol w:w="1907"/>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3" w:name="_Toc22209"/>
            <w:r>
              <w:rPr>
                <w:rFonts w:hint="eastAsia" w:ascii="Calibri" w:hAnsi="Calibri" w:eastAsia="宋体" w:cs="Times New Roman"/>
                <w:bCs/>
                <w:sz w:val="24"/>
                <w:lang w:val="en-US" w:eastAsia="zh-CN"/>
              </w:rPr>
              <w:t>名称</w:t>
            </w:r>
            <w:bookmarkEnd w:id="53"/>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4" w:name="_Toc28048"/>
            <w:r>
              <w:rPr>
                <w:rFonts w:hint="eastAsia" w:ascii="Calibri" w:hAnsi="Calibri" w:eastAsia="宋体" w:cs="Times New Roman"/>
                <w:bCs/>
                <w:sz w:val="24"/>
                <w:lang w:val="en-US" w:eastAsia="zh-CN"/>
              </w:rPr>
              <w:t>稀释比</w:t>
            </w:r>
            <w:bookmarkEnd w:id="54"/>
          </w:p>
        </w:tc>
        <w:tc>
          <w:tcPr>
            <w:tcW w:w="1907"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5" w:name="_Toc2513"/>
            <w:r>
              <w:rPr>
                <w:rFonts w:hint="eastAsia" w:ascii="Calibri" w:hAnsi="Calibri" w:eastAsia="宋体" w:cs="Times New Roman"/>
                <w:bCs/>
                <w:sz w:val="24"/>
                <w:lang w:val="en-US" w:eastAsia="zh-CN"/>
              </w:rPr>
              <w:t>品牌</w:t>
            </w:r>
            <w:bookmarkEnd w:id="55"/>
          </w:p>
        </w:tc>
        <w:tc>
          <w:tcPr>
            <w:tcW w:w="2496" w:type="dxa"/>
            <w:tcBorders>
              <w:top w:val="single" w:color="auto" w:sz="4" w:space="0"/>
              <w:left w:val="nil"/>
              <w:bottom w:val="single" w:color="auto" w:sz="4" w:space="0"/>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default" w:ascii="Calibri" w:hAnsi="Calibri" w:eastAsia="宋体" w:cs="Times New Roman"/>
                <w:bCs/>
                <w:sz w:val="24"/>
                <w:lang w:val="en-US" w:eastAsia="zh-CN"/>
              </w:rPr>
            </w:pPr>
            <w:bookmarkStart w:id="56" w:name="_Toc6513"/>
            <w:r>
              <w:rPr>
                <w:rFonts w:hint="eastAsia" w:ascii="Calibri" w:hAnsi="Calibri" w:eastAsia="宋体" w:cs="Times New Roman"/>
                <w:bCs/>
                <w:sz w:val="24"/>
                <w:lang w:val="en-US" w:eastAsia="zh-CN"/>
              </w:rPr>
              <w:t>货号</w:t>
            </w:r>
            <w:bookmarkEnd w:id="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125"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57" w:name="_Toc27158"/>
            <w:r>
              <w:rPr>
                <w:rFonts w:hint="eastAsia" w:ascii="Calibri" w:hAnsi="Calibri" w:eastAsia="宋体" w:cs="Times New Roman"/>
                <w:bCs/>
                <w:sz w:val="24"/>
                <w:lang w:val="en-US" w:eastAsia="zh-CN"/>
              </w:rPr>
              <w:t>/</w:t>
            </w:r>
            <w:bookmarkEnd w:id="57"/>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58" w:name="_Toc13190"/>
            <w:r>
              <w:rPr>
                <w:rFonts w:hint="eastAsia" w:ascii="Calibri" w:hAnsi="Calibri" w:eastAsia="宋体" w:cs="Times New Roman"/>
                <w:bCs/>
                <w:sz w:val="24"/>
                <w:lang w:val="en-US" w:eastAsia="zh-CN"/>
              </w:rPr>
              <w:t>/</w:t>
            </w:r>
            <w:bookmarkEnd w:id="58"/>
          </w:p>
        </w:tc>
        <w:tc>
          <w:tcPr>
            <w:tcW w:w="1907"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59" w:name="_Toc14153"/>
            <w:r>
              <w:rPr>
                <w:rFonts w:hint="eastAsia" w:ascii="Calibri" w:hAnsi="Calibri" w:eastAsia="宋体" w:cs="Times New Roman"/>
                <w:bCs/>
                <w:sz w:val="24"/>
                <w:lang w:val="en-US" w:eastAsia="zh-CN"/>
              </w:rPr>
              <w:t>/</w:t>
            </w:r>
            <w:bookmarkEnd w:id="59"/>
          </w:p>
        </w:tc>
        <w:tc>
          <w:tcPr>
            <w:tcW w:w="2496" w:type="dxa"/>
            <w:tcBorders>
              <w:top w:val="single" w:color="auto" w:sz="4" w:space="0"/>
              <w:left w:val="nil"/>
              <w:bottom w:val="nil"/>
              <w:right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0" w:name="_Toc5431"/>
            <w:r>
              <w:rPr>
                <w:rFonts w:hint="eastAsia" w:ascii="Calibri" w:hAnsi="Calibri" w:eastAsia="宋体" w:cs="Times New Roman"/>
                <w:bCs/>
                <w:sz w:val="24"/>
                <w:lang w:val="en-US" w:eastAsia="zh-CN"/>
              </w:rPr>
              <w:t>/</w:t>
            </w:r>
            <w:bookmarkEnd w:id="60"/>
          </w:p>
        </w:tc>
      </w:tr>
    </w:tbl>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5DAB显色，将爬片挑起，</w:t>
      </w:r>
      <w:r>
        <w:rPr>
          <w:rFonts w:hint="eastAsia" w:ascii="Times New Roman" w:hAnsi="Times New Roman" w:cs="Times New Roman" w:eastAsiaTheme="minorEastAsia"/>
          <w:kern w:val="1"/>
          <w:sz w:val="24"/>
          <w:szCs w:val="24"/>
          <w:lang w:val="zh-CN" w:eastAsia="zh-CN" w:bidi="ar-SA"/>
        </w:rPr>
        <w:t>在圈内滴加新鲜配制的DAB显色液，显微镜下控制显色时间，阳性为棕黄色，自来水冲洗切片终止显色。</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4.6复染细胞核，在组化圈内加入</w:t>
      </w:r>
      <w:r>
        <w:rPr>
          <w:rFonts w:hint="eastAsia" w:ascii="Times New Roman" w:hAnsi="Times New Roman" w:cs="Times New Roman" w:eastAsiaTheme="minorEastAsia"/>
          <w:kern w:val="1"/>
          <w:sz w:val="24"/>
          <w:szCs w:val="24"/>
          <w:lang w:val="zh-CN" w:eastAsia="zh-CN" w:bidi="ar-SA"/>
        </w:rPr>
        <w:t>苏木素染</w:t>
      </w:r>
      <w:r>
        <w:rPr>
          <w:rFonts w:hint="eastAsia" w:ascii="Times New Roman" w:hAnsi="Times New Roman" w:cs="Times New Roman" w:eastAsiaTheme="minorEastAsia"/>
          <w:kern w:val="1"/>
          <w:sz w:val="24"/>
          <w:szCs w:val="24"/>
          <w:lang w:val="en-US" w:eastAsia="zh-CN" w:bidi="ar-SA"/>
        </w:rPr>
        <w:t>核15s</w:t>
      </w:r>
      <w:r>
        <w:rPr>
          <w:rFonts w:hint="eastAsia" w:ascii="Times New Roman" w:hAnsi="Times New Roman" w:cs="Times New Roman" w:eastAsiaTheme="minorEastAsia"/>
          <w:kern w:val="1"/>
          <w:sz w:val="24"/>
          <w:szCs w:val="24"/>
          <w:lang w:val="zh-CN" w:eastAsia="zh-CN" w:bidi="ar-SA"/>
        </w:rPr>
        <w:t>左右，自来水洗，1%的盐酸</w:t>
      </w:r>
      <w:r>
        <w:rPr>
          <w:rFonts w:hint="eastAsia" w:ascii="Times New Roman" w:hAnsi="Times New Roman" w:cs="Times New Roman" w:eastAsiaTheme="minorEastAsia"/>
          <w:kern w:val="1"/>
          <w:sz w:val="24"/>
          <w:szCs w:val="24"/>
          <w:lang w:val="en-US" w:eastAsia="zh-CN" w:bidi="ar-SA"/>
        </w:rPr>
        <w:t>水</w:t>
      </w:r>
      <w:r>
        <w:rPr>
          <w:rFonts w:hint="eastAsia" w:ascii="Times New Roman" w:hAnsi="Times New Roman" w:cs="Times New Roman" w:eastAsiaTheme="minorEastAsia"/>
          <w:kern w:val="1"/>
          <w:sz w:val="24"/>
          <w:szCs w:val="24"/>
          <w:lang w:val="zh-CN" w:eastAsia="zh-CN" w:bidi="ar-SA"/>
        </w:rPr>
        <w:t>分化，自来水冲洗，氨水返蓝，流水冲洗。</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ascii="Times New Roman" w:hAnsi="Times New Roman" w:cs="Times New Roman" w:eastAsiaTheme="minorEastAsia"/>
          <w:kern w:val="1"/>
          <w:sz w:val="24"/>
          <w:szCs w:val="24"/>
          <w:lang w:val="zh-CN" w:eastAsia="zh-CN" w:bidi="ar-SA"/>
        </w:rPr>
      </w:pPr>
      <w:r>
        <w:rPr>
          <w:rFonts w:hint="eastAsia" w:ascii="Times New Roman" w:hAnsi="Times New Roman" w:cs="Times New Roman" w:eastAsiaTheme="minorEastAsia"/>
          <w:kern w:val="1"/>
          <w:sz w:val="24"/>
          <w:szCs w:val="24"/>
          <w:lang w:val="en-US" w:eastAsia="zh-CN" w:bidi="ar-SA"/>
        </w:rPr>
        <w:t>4.7脱水封片，在组化圈内</w:t>
      </w:r>
      <w:r>
        <w:rPr>
          <w:rFonts w:hint="eastAsia" w:ascii="Times New Roman" w:hAnsi="Times New Roman" w:cs="Times New Roman" w:eastAsiaTheme="minorEastAsia"/>
          <w:kern w:val="1"/>
          <w:sz w:val="24"/>
          <w:szCs w:val="24"/>
          <w:lang w:val="zh-CN" w:eastAsia="zh-CN" w:bidi="ar-SA"/>
        </w:rPr>
        <w:t>依次放入75%酒精-85%酒精-无水乙醇，</w:t>
      </w:r>
      <w:r>
        <w:rPr>
          <w:rFonts w:hint="eastAsia" w:ascii="Times New Roman" w:hAnsi="Times New Roman" w:cs="Times New Roman" w:eastAsiaTheme="minorEastAsia"/>
          <w:kern w:val="1"/>
          <w:sz w:val="24"/>
          <w:szCs w:val="24"/>
          <w:lang w:val="en-US" w:eastAsia="zh-CN" w:bidi="ar-SA"/>
        </w:rPr>
        <w:t>挑起爬片，放入37℃烘箱中，烤干水分，</w:t>
      </w:r>
      <w:r>
        <w:rPr>
          <w:rFonts w:hint="eastAsia" w:ascii="Times New Roman" w:hAnsi="Times New Roman" w:cs="Times New Roman" w:eastAsiaTheme="minorEastAsia"/>
          <w:kern w:val="1"/>
          <w:sz w:val="24"/>
          <w:szCs w:val="24"/>
          <w:lang w:val="zh-CN" w:eastAsia="zh-CN" w:bidi="ar-SA"/>
        </w:rPr>
        <w:t>中性树胶封片。</w:t>
      </w:r>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en-US" w:eastAsia="zh-CN" w:bidi="ar-SA"/>
        </w:rPr>
        <w:t>4</w:t>
      </w:r>
      <w:r>
        <w:rPr>
          <w:rFonts w:hint="default" w:ascii="Times New Roman" w:hAnsi="Times New Roman" w:cs="Times New Roman" w:eastAsiaTheme="minorEastAsia"/>
          <w:kern w:val="1"/>
          <w:sz w:val="24"/>
          <w:szCs w:val="24"/>
          <w:lang w:val="en-US" w:eastAsia="zh-CN" w:bidi="ar-SA"/>
        </w:rPr>
        <w:t>.</w:t>
      </w:r>
      <w:r>
        <w:rPr>
          <w:rFonts w:hint="eastAsia" w:ascii="Times New Roman" w:hAnsi="Times New Roman" w:cs="Times New Roman" w:eastAsiaTheme="minorEastAsia"/>
          <w:kern w:val="1"/>
          <w:sz w:val="24"/>
          <w:szCs w:val="24"/>
          <w:lang w:val="en-US" w:eastAsia="zh-CN" w:bidi="ar-SA"/>
        </w:rPr>
        <w:t>8</w:t>
      </w:r>
      <w:r>
        <w:rPr>
          <w:rFonts w:hint="default" w:ascii="Times New Roman" w:hAnsi="Times New Roman" w:cs="Times New Roman" w:eastAsiaTheme="minorEastAsia"/>
          <w:kern w:val="1"/>
          <w:sz w:val="24"/>
          <w:szCs w:val="24"/>
          <w:lang w:val="en-US" w:eastAsia="zh-CN" w:bidi="ar-SA"/>
        </w:rPr>
        <w:t>镜检。</w:t>
      </w:r>
    </w:p>
    <w:p>
      <w:pPr>
        <w:pStyle w:val="2"/>
        <w:numPr>
          <w:ilvl w:val="0"/>
          <w:numId w:val="4"/>
        </w:numPr>
        <w:spacing w:before="240" w:beforeLines="100" w:after="120" w:afterLines="50" w:line="360" w:lineRule="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61" w:name="_Toc25471"/>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染色结果</w:t>
      </w:r>
      <w:bookmarkEnd w:id="61"/>
    </w:p>
    <w:p>
      <w:pPr>
        <w:pStyle w:val="6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default" w:ascii="Times New Roman" w:hAnsi="Times New Roman" w:cs="Times New Roman" w:eastAsiaTheme="minorEastAsia"/>
          <w:kern w:val="1"/>
          <w:sz w:val="24"/>
          <w:szCs w:val="24"/>
          <w:lang w:val="en-US" w:eastAsia="zh-CN" w:bidi="ar-SA"/>
        </w:rPr>
      </w:pPr>
      <w:r>
        <w:rPr>
          <w:rFonts w:hint="eastAsia" w:ascii="Times New Roman" w:hAnsi="Times New Roman" w:cs="Times New Roman" w:eastAsiaTheme="minorEastAsia"/>
          <w:kern w:val="1"/>
          <w:sz w:val="24"/>
          <w:szCs w:val="24"/>
          <w:lang w:val="zh-CN" w:eastAsia="zh-CN" w:bidi="ar-SA"/>
        </w:rPr>
        <w:t>苏木素染细胞核为蓝色，DAB显出的阳性表达为棕黄色。</w:t>
      </w:r>
    </w:p>
    <w:p>
      <w:pPr>
        <w:spacing w:after="120" w:afterLines="50" w:line="360" w:lineRule="auto"/>
        <w:rPr>
          <w:rFonts w:ascii="Times New Roman" w:hAnsi="Times New Roman" w:eastAsiaTheme="minorEastAsia"/>
          <w:b/>
          <w:bCs/>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DF3B9F"/>
    <w:rsid w:val="0BF202F5"/>
    <w:rsid w:val="0D1F336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BF349F3"/>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EB057B8"/>
    <w:rsid w:val="2F024A8F"/>
    <w:rsid w:val="2F2B080B"/>
    <w:rsid w:val="2F453924"/>
    <w:rsid w:val="2F57341F"/>
    <w:rsid w:val="2F611BF0"/>
    <w:rsid w:val="2F7013AD"/>
    <w:rsid w:val="2FB94EF1"/>
    <w:rsid w:val="306A53C9"/>
    <w:rsid w:val="30AA0DE7"/>
    <w:rsid w:val="311A06DB"/>
    <w:rsid w:val="314270F9"/>
    <w:rsid w:val="31800F50"/>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192A91"/>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5E5675C"/>
    <w:rsid w:val="567C2762"/>
    <w:rsid w:val="56AC2486"/>
    <w:rsid w:val="56B57E6A"/>
    <w:rsid w:val="576F4109"/>
    <w:rsid w:val="57A5105B"/>
    <w:rsid w:val="58046889"/>
    <w:rsid w:val="586E37F0"/>
    <w:rsid w:val="587A136B"/>
    <w:rsid w:val="59745DBA"/>
    <w:rsid w:val="599B6EA3"/>
    <w:rsid w:val="59D40607"/>
    <w:rsid w:val="5A61633E"/>
    <w:rsid w:val="5B2829B8"/>
    <w:rsid w:val="5B740BC8"/>
    <w:rsid w:val="5B947BDB"/>
    <w:rsid w:val="5C2268F0"/>
    <w:rsid w:val="5C4F1889"/>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5F32DA6"/>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271D68"/>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35381"/>
    <w:rsid w:val="7BA53563"/>
    <w:rsid w:val="7BB824AC"/>
    <w:rsid w:val="7BDFD733"/>
    <w:rsid w:val="7BEE6EAE"/>
    <w:rsid w:val="7BFDDE37"/>
    <w:rsid w:val="7C4160FC"/>
    <w:rsid w:val="7C452681"/>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 w:type="paragraph" w:customStyle="1" w:styleId="68">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2638</Words>
  <Characters>2992</Characters>
  <Lines>29</Lines>
  <Paragraphs>8</Paragraphs>
  <TotalTime>0</TotalTime>
  <ScaleCrop>false</ScaleCrop>
  <LinksUpToDate>false</LinksUpToDate>
  <CharactersWithSpaces>3033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2024-07-10T09:19:48Z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41B2CA2528ED4EDC9D73436714118302_13</vt:lpwstr>
  </property>
</Properties>
</file>