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Tunel-FITC/CY3</w:t>
                            </w: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1312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Tunel-FITC/CY3</w:t>
                      </w: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2336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4384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50" w:name="_GoBack"/>
      <w:bookmarkEnd w:id="50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3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0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3116"/>
      <w:bookmarkStart w:id="1" w:name="_Toc169612771"/>
      <w:bookmarkStart w:id="2" w:name="_Toc169253391"/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spacing w:before="120" w:beforeLines="50" w:after="120" w:afterLines="50"/>
        <w:ind w:firstLine="480" w:firstLineChars="20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keepNext/>
        <w:keepLines/>
        <w:pageBreakBefore/>
        <w:spacing w:line="360" w:lineRule="auto"/>
        <w:ind w:firstLine="361" w:firstLineChars="150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line="360" w:lineRule="auto"/>
        <w:ind w:firstLine="361" w:firstLineChars="150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p>
          <w:pPr>
            <w:pStyle w:val="61"/>
            <w:jc w:val="center"/>
            <w:rPr>
              <w:color w:val="auto"/>
              <w:sz w:val="24"/>
              <w:szCs w:val="24"/>
            </w:rPr>
          </w:pPr>
          <w:r>
            <w:rPr>
              <w:color w:val="auto"/>
              <w:sz w:val="24"/>
              <w:szCs w:val="24"/>
              <w:lang w:val="zh-CN"/>
            </w:rPr>
            <w:t>目录</w:t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_Toc4515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eastAsia" w:eastAsiaTheme="minorEastAsia"/>
              <w:szCs w:val="28"/>
              <w:lang w:val="en-US" w:eastAsia="zh-CN"/>
            </w:rPr>
            <w:t>一、 样本信息</w:t>
          </w:r>
          <w:r>
            <w:tab/>
          </w:r>
          <w:r>
            <w:fldChar w:fldCharType="begin"/>
          </w:r>
          <w:r>
            <w:instrText xml:space="preserve"> PAGEREF _Toc4515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_Toc17045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default" w:eastAsiaTheme="minorEastAsia"/>
              <w:szCs w:val="28"/>
              <w:lang w:val="en-US" w:eastAsia="zh-CN"/>
            </w:rPr>
            <w:t>二、 实验简介</w:t>
          </w:r>
          <w:r>
            <w:tab/>
          </w:r>
          <w:r>
            <w:fldChar w:fldCharType="begin"/>
          </w:r>
          <w:r>
            <w:instrText xml:space="preserve"> PAGEREF _Toc17045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_Toc10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default" w:eastAsiaTheme="minorEastAsia"/>
              <w:szCs w:val="28"/>
              <w:lang w:val="en-US" w:eastAsia="zh-CN"/>
            </w:rPr>
            <w:t>三、 实验仪器、试剂耗材</w:t>
          </w:r>
          <w:r>
            <w:tab/>
          </w:r>
          <w:r>
            <w:fldChar w:fldCharType="begin"/>
          </w:r>
          <w:r>
            <w:instrText xml:space="preserve"> PAGEREF _Toc10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_Toc1935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default" w:eastAsiaTheme="minorEastAsia"/>
              <w:szCs w:val="28"/>
              <w:lang w:val="en-US" w:eastAsia="zh-CN"/>
            </w:rPr>
            <w:t>四、 实验步骤</w:t>
          </w:r>
          <w:r>
            <w:tab/>
          </w:r>
          <w:r>
            <w:fldChar w:fldCharType="begin"/>
          </w:r>
          <w:r>
            <w:instrText xml:space="preserve"> PAGEREF _Toc1935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_Toc21613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default" w:eastAsiaTheme="minorEastAsia"/>
              <w:szCs w:val="28"/>
              <w:lang w:val="en-US" w:eastAsia="zh-CN"/>
            </w:rPr>
            <w:t xml:space="preserve">五、 </w:t>
          </w:r>
          <w:r>
            <w:rPr>
              <w:rFonts w:hint="eastAsia" w:eastAsiaTheme="minorEastAsia"/>
              <w:szCs w:val="28"/>
              <w:lang w:val="en-US" w:eastAsia="zh-CN"/>
            </w:rPr>
            <w:t>染色结果</w:t>
          </w:r>
          <w:r>
            <w:tab/>
          </w:r>
          <w:r>
            <w:fldChar w:fldCharType="begin"/>
          </w:r>
          <w:r>
            <w:instrText xml:space="preserve"> PAGEREF _Toc21613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rPr>
              <w:sz w:val="24"/>
              <w:szCs w:val="24"/>
            </w:rPr>
          </w:pPr>
          <w:r>
            <w:rPr>
              <w:bCs/>
              <w:szCs w:val="24"/>
              <w:lang w:val="zh-CN"/>
            </w:rPr>
            <w:fldChar w:fldCharType="end"/>
          </w:r>
        </w:p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3" w:name="_Toc40709121"/>
      <w:bookmarkStart w:id="4" w:name="_Toc149670078"/>
      <w:bookmarkStart w:id="5" w:name="_Toc67067673"/>
      <w:bookmarkStart w:id="6" w:name="_Toc4515"/>
      <w:bookmarkStart w:id="7" w:name="_Toc85906420"/>
      <w:bookmarkStart w:id="8" w:name="_Toc67061766"/>
      <w:bookmarkStart w:id="9" w:name="_Toc509220866"/>
      <w:bookmarkStart w:id="10" w:name="_Toc54712428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样本信息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</w:p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1" w:name="_Toc5015"/>
      <w:bookmarkStart w:id="12" w:name="_Toc17045"/>
      <w:r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实验简介</w:t>
      </w:r>
      <w:bookmarkEnd w:id="11"/>
      <w:bookmarkEnd w:id="12"/>
    </w:p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bookmarkStart w:id="13" w:name="_Toc3757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TUNEL染色是检测细胞凋亡染色的常见方法，其原理是细胞在发生凋亡时，会激活一些DNA内切酶，这些内切酶会切断核小体间的基因组DNA。细胞凋亡时抽提DNA进行电泳检测，可以发现180~200bp的DNA ladder。基因组DNA断裂时，暴露的3'-OH可以在末端脱氧核苷酸转移酶(Terminal Deoxynucleotidyl Transferase, TdT) 的催化下加上荧光素、生物素标记的dUTP，从而可以通过荧光显微镜或化学显色方法检测细胞凋亡的情况。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4" w:name="_Toc10"/>
      <w:r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实验仪器、试剂耗材</w:t>
      </w:r>
      <w:bookmarkEnd w:id="13"/>
      <w:bookmarkEnd w:id="1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287" w:afterLines="100" w:line="240" w:lineRule="auto"/>
        <w:jc w:val="both"/>
        <w:textAlignment w:val="auto"/>
        <w:outlineLvl w:val="1"/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15" w:name="_Toc25164"/>
      <w:bookmarkStart w:id="16" w:name="_Toc1023"/>
      <w:bookmarkStart w:id="17" w:name="_Toc2717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.1仪器</w:t>
      </w:r>
      <w:bookmarkEnd w:id="15"/>
      <w:bookmarkEnd w:id="16"/>
      <w:bookmarkEnd w:id="17"/>
    </w:p>
    <w:tbl>
      <w:tblPr>
        <w:tblStyle w:val="15"/>
        <w:tblW w:w="4998" w:type="pct"/>
        <w:jc w:val="center"/>
        <w:tbl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38"/>
        <w:gridCol w:w="3819"/>
        <w:gridCol w:w="2975"/>
      </w:tblGrid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436" w:type="pct"/>
            <w:tcBorders>
              <w:bottom w:val="single" w:color="000000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仪器名称</w:t>
            </w:r>
          </w:p>
        </w:tc>
        <w:tc>
          <w:tcPr>
            <w:tcW w:w="2003" w:type="pct"/>
            <w:tcBorders>
              <w:left w:val="nil"/>
              <w:bottom w:val="single" w:color="000000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品牌</w:t>
            </w:r>
          </w:p>
        </w:tc>
        <w:tc>
          <w:tcPr>
            <w:tcW w:w="1560" w:type="pct"/>
            <w:tcBorders>
              <w:left w:val="nil"/>
              <w:bottom w:val="single" w:color="000000" w:sz="8" w:space="0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型号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tcBorders>
              <w:top w:val="single" w:color="000000" w:sz="8" w:space="0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组织脱水机</w:t>
            </w:r>
          </w:p>
        </w:tc>
        <w:tc>
          <w:tcPr>
            <w:tcW w:w="2003" w:type="pct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1560" w:type="pct"/>
            <w:tcBorders>
              <w:top w:val="single" w:color="000000" w:sz="8" w:space="0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JT-12S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石蜡包埋机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JB-L5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病理切片机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上海徕卡仪器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RM2016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冻台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JB-L5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组织摊片机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JK-5/6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烤箱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绍兴泸越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101-3B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18" w:name="_Toc10658"/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微波炉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格兰仕微波炉电器有限公司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P70D20TL-P4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脱色摇床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谷歌生物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TSY-B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涡旋混合器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谷歌生物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MX-F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掌上离心机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谷歌生物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D1008E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移液枪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Dragon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KE0003087/KA0056573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组化笔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Gene tech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GT1001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冰箱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青岛海尔股份有限公司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BCD-192TGN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荧光生物显微镜</w:t>
            </w:r>
          </w:p>
        </w:tc>
        <w:tc>
          <w:tcPr>
            <w:tcW w:w="2003" w:type="pct"/>
            <w:tcBorders>
              <w:top w:val="nil"/>
              <w:left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广州市明美光电技术有限公司</w:t>
            </w:r>
          </w:p>
        </w:tc>
        <w:tc>
          <w:tcPr>
            <w:tcW w:w="1560" w:type="pct"/>
            <w:tcBorders>
              <w:top w:val="nil"/>
              <w:lef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MF23-M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287" w:afterLines="100" w:line="240" w:lineRule="auto"/>
        <w:jc w:val="both"/>
        <w:textAlignment w:val="auto"/>
        <w:outlineLvl w:val="1"/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19" w:name="_Toc31638"/>
      <w:bookmarkStart w:id="20" w:name="_Toc20310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.2试剂</w:t>
      </w:r>
      <w:bookmarkEnd w:id="18"/>
      <w:bookmarkEnd w:id="19"/>
      <w:bookmarkEnd w:id="20"/>
    </w:p>
    <w:tbl>
      <w:tblPr>
        <w:tblStyle w:val="15"/>
        <w:tblW w:w="4998" w:type="pct"/>
        <w:jc w:val="center"/>
        <w:tbl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7"/>
        <w:gridCol w:w="3814"/>
        <w:gridCol w:w="2941"/>
      </w:tblGrid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bottom w:val="single" w:color="000000" w:themeColor="text1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2000" w:type="pct"/>
            <w:tcBorders>
              <w:left w:val="nil"/>
              <w:bottom w:val="single" w:color="000000" w:themeColor="text1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厂家</w:t>
            </w:r>
          </w:p>
        </w:tc>
        <w:tc>
          <w:tcPr>
            <w:tcW w:w="1542" w:type="pct"/>
            <w:tcBorders>
              <w:left w:val="nil"/>
              <w:bottom w:val="single" w:color="000000" w:themeColor="text1" w:sz="8" w:space="0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货号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21" w:name="_Toc17607"/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PBS缓冲液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G0002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4%多聚甲醛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BL539A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一步法TUNEL细胞凋亡检测试剂盒(FITC/TMR)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G1501/G1502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DAPI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BS097-10mg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破膜液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BS084-100ml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自发荧光淬灭剂B液</w:t>
            </w:r>
          </w:p>
        </w:tc>
        <w:tc>
          <w:tcPr>
            <w:tcW w:w="2000" w:type="pct"/>
            <w:tcBorders>
              <w:top w:val="nil"/>
              <w:left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542" w:type="pct"/>
            <w:tcBorders>
              <w:top w:val="nil"/>
              <w:lef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287" w:afterLines="100" w:line="240" w:lineRule="auto"/>
        <w:jc w:val="both"/>
        <w:textAlignment w:val="auto"/>
        <w:outlineLvl w:val="1"/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22" w:name="_Toc18503"/>
      <w:bookmarkStart w:id="23" w:name="_Toc8477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.3耗材</w:t>
      </w:r>
      <w:bookmarkEnd w:id="21"/>
      <w:bookmarkEnd w:id="22"/>
      <w:bookmarkEnd w:id="23"/>
    </w:p>
    <w:tbl>
      <w:tblPr>
        <w:tblStyle w:val="15"/>
        <w:tblW w:w="4998" w:type="pct"/>
        <w:jc w:val="center"/>
        <w:tbl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7"/>
        <w:gridCol w:w="3814"/>
        <w:gridCol w:w="2941"/>
      </w:tblGrid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bottom w:val="single" w:color="000000" w:themeColor="text1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2000" w:type="pct"/>
            <w:tcBorders>
              <w:left w:val="nil"/>
              <w:bottom w:val="single" w:color="000000" w:themeColor="text1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厂家</w:t>
            </w:r>
          </w:p>
        </w:tc>
        <w:tc>
          <w:tcPr>
            <w:tcW w:w="1542" w:type="pct"/>
            <w:tcBorders>
              <w:left w:val="nil"/>
              <w:bottom w:val="single" w:color="000000" w:themeColor="text1" w:sz="8" w:space="0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货号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single" w:color="000000" w:themeColor="text1" w:sz="8" w:space="0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粘附性</w:t>
            </w: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载玻片</w:t>
            </w:r>
          </w:p>
        </w:tc>
        <w:tc>
          <w:tcPr>
            <w:tcW w:w="2000" w:type="pct"/>
            <w:tcBorders>
              <w:top w:val="single" w:color="000000" w:themeColor="text1" w:sz="8" w:space="0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1542" w:type="pct"/>
            <w:tcBorders>
              <w:top w:val="single" w:color="000000" w:themeColor="text1" w:sz="8" w:space="0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80312/80302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显微镜</w:t>
            </w: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盖玻片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80340-1630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病理刀片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epredia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MX35 ULTRA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组织包埋盒</w:t>
            </w:r>
          </w:p>
        </w:tc>
        <w:tc>
          <w:tcPr>
            <w:tcW w:w="2000" w:type="pct"/>
            <w:tcBorders>
              <w:top w:val="nil"/>
              <w:left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1542" w:type="pct"/>
            <w:tcBorders>
              <w:top w:val="nil"/>
              <w:lef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22022</w:t>
            </w:r>
          </w:p>
        </w:tc>
      </w:tr>
    </w:tbl>
    <w:p>
      <w:pPr>
        <w:pStyle w:val="2"/>
        <w:numPr>
          <w:ilvl w:val="0"/>
          <w:numId w:val="4"/>
        </w:numPr>
        <w:spacing w:before="240" w:beforeLines="100" w:after="120" w:afterLines="50" w:line="360" w:lineRule="auto"/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24" w:name="_Toc1935"/>
      <w:bookmarkStart w:id="25" w:name="_Toc14512"/>
      <w:bookmarkStart w:id="26" w:name="_Toc6790"/>
      <w:r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实验步骤</w:t>
      </w:r>
      <w:bookmarkEnd w:id="24"/>
      <w:bookmarkEnd w:id="25"/>
      <w:bookmarkEnd w:id="26"/>
      <w:bookmarkStart w:id="27" w:name="_Toc17182"/>
      <w:bookmarkStart w:id="28" w:name="_Toc9168"/>
      <w:bookmarkStart w:id="29" w:name="_Toc8714"/>
      <w:bookmarkStart w:id="30" w:name="_Toc2727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31" w:name="_Toc2878"/>
      <w:bookmarkStart w:id="32" w:name="_Toc7002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4.1石蜡切片脱蜡至水</w:t>
      </w:r>
      <w:bookmarkEnd w:id="27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，春夏秋：二甲苯I 10min-二甲苯II 10min-二甲苯III 10min-无水乙醇I 5min-无水乙醇II 5min-95%乙醇 5min-85%乙醇 5min-75%乙醇 5min-纯水 5min。冬天：二甲苯每缸时间延长至15min。</w:t>
      </w:r>
      <w:bookmarkEnd w:id="31"/>
      <w:bookmarkEnd w:id="3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33" w:name="_Toc3786"/>
      <w:bookmarkStart w:id="34" w:name="_Toc26120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4.2</w:t>
      </w:r>
      <w:bookmarkEnd w:id="3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修复；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配制Proteinase K工作液：按1：9体积比，用PBS作为稀释液来稀释Proteinase K（200 µg/mL）原液，使其终浓度为20 μg/mL；每个样本上滴加100 μL上述Proteinase K工作液，完全覆盖组织，37℃孵育20 min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,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用PBS溶液浸润清洗样本3次，每次5 min（Proteinase K需洗涤干净，否则会干扰后续的标记反应），处理后的样本放在湿盒中保持样本的湿润。</w:t>
      </w:r>
      <w:bookmarkEnd w:id="3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35" w:name="_Toc8574"/>
      <w:bookmarkStart w:id="36" w:name="_Toc21139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.3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破膜；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切片稍甩干后在圈内滴加破膜工作液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(0.5%TritonX-100)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覆盖组织，常温下孵育20min，将玻片置于PBS（PH7.4）中在脱色摇床上晃动洗涤3次，每次5min。</w:t>
      </w:r>
      <w:bookmarkEnd w:id="3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37" w:name="_Toc21387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.4</w:t>
      </w:r>
      <w:bookmarkEnd w:id="36"/>
      <w:bookmarkStart w:id="38" w:name="_Toc747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平衡；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每个样本滴加50 μL Equilibration Buffer使其全部覆盖待检样本区域，室温孵育10 min。</w:t>
      </w:r>
      <w:bookmarkEnd w:id="3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39" w:name="_Toc11084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bookmarkEnd w:id="38"/>
      <w:bookmarkStart w:id="40" w:name="_Toc16101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5标记；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在冰上解冻Biotin-dUTP Labeling Mix和Equilibration Buffer，并按照Recombinant TdT enzyme：Biotin-dUTP Labeling Mix：Equilibration Buffer=1 µL：5 µL：50 µL（1：5：50）比例混合足够用于所有实验的TdT孵育缓冲液，具体实验使用试剂的体积可以根据玻片的大小进行适当等比例调整，尽量去掉平衡的Equilibration Buffer，然后在每份组织样本上加入56 μL TdT孵育缓冲液，在37℃孵育1 h；注意不能干片，载玻片要避光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。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将玻片置于PBS（PH7.4）中在脱色摇床上晃动洗涤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次，每次5min。</w:t>
      </w:r>
      <w:bookmarkEnd w:id="3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41" w:name="_Toc2316"/>
      <w:bookmarkStart w:id="42" w:name="_Toc18622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6DAPIA复染细胞核；玻片置于PBS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中在脱色摇床上晃动洗涤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4次，每次5min。切片稍甩干后在圈内滴加DAPI染液，避光室温孵育5min。玻片置于PBS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中在脱色摇床上晃动洗涤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4次，每次5min。</w:t>
      </w:r>
      <w:bookmarkEnd w:id="41"/>
      <w:bookmarkEnd w:id="42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 xml:space="preserve">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43" w:name="_Toc30455"/>
      <w:bookmarkStart w:id="44" w:name="_Toc19652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bookmarkEnd w:id="40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7免疫标记后的自发荧光淬灭；滴加组织自发荧光淬灭剂B液覆盖组织室温避光孵育5 min，流水冲洗3min。</w:t>
      </w:r>
      <w:bookmarkEnd w:id="43"/>
      <w:bookmarkEnd w:id="4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45" w:name="_Toc10349"/>
      <w:bookmarkStart w:id="46" w:name="_Toc14991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bookmarkEnd w:id="45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9封片；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切片稍甩干后用抗荧光淬灭封片剂封片。</w:t>
      </w:r>
      <w:bookmarkEnd w:id="4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47" w:name="_Toc7987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10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镜检。</w:t>
      </w:r>
      <w:bookmarkEnd w:id="47"/>
    </w:p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48" w:name="_Toc21613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染色结果</w:t>
      </w:r>
      <w:bookmarkEnd w:id="48"/>
    </w:p>
    <w:bookmarkEnd w:id="28"/>
    <w:bookmarkEnd w:id="29"/>
    <w:bookmarkEnd w:id="3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49" w:name="_Toc30458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在荧光显微镜下分析样本，载玻片注意避光，DAPI能将凋亡和未凋亡的细胞都染成蓝色，只在凋亡的细胞核中才有FITC-12-dUTP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/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TMR-5-dUTP掺入而定位的绿色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/红色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荧光。</w:t>
      </w:r>
      <w:bookmarkEnd w:id="49"/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5408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3360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7456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6432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26514C9"/>
    <w:multiLevelType w:val="multilevel"/>
    <w:tmpl w:val="626514C9"/>
    <w:lvl w:ilvl="0" w:tentative="0">
      <w:start w:val="1"/>
      <w:numFmt w:val="decimal"/>
      <w:pStyle w:val="66"/>
      <w:suff w:val="space"/>
      <w:lvlText w:val="%1"/>
      <w:lvlJc w:val="left"/>
      <w:pPr>
        <w:ind w:left="425" w:hanging="425"/>
      </w:pPr>
      <w:rPr>
        <w:rFonts w:hint="default" w:ascii="Times New Roman" w:hAnsi="Times New Roman" w:eastAsia="黑体"/>
        <w:b/>
        <w:i w:val="0"/>
        <w:sz w:val="30"/>
        <w:szCs w:val="30"/>
      </w:rPr>
    </w:lvl>
    <w:lvl w:ilvl="1" w:tentative="0">
      <w:start w:val="1"/>
      <w:numFmt w:val="decimal"/>
      <w:pStyle w:val="65"/>
      <w:suff w:val="space"/>
      <w:lvlText w:val="%1.%2"/>
      <w:lvlJc w:val="left"/>
      <w:pPr>
        <w:ind w:left="567" w:hanging="567"/>
      </w:pPr>
      <w:rPr>
        <w:rFonts w:hint="default" w:ascii="Times New Roman" w:hAnsi="Times New Roman" w:eastAsia="黑体"/>
        <w:b/>
        <w:i w:val="0"/>
        <w:sz w:val="28"/>
        <w:szCs w:val="28"/>
      </w:rPr>
    </w:lvl>
    <w:lvl w:ilvl="2" w:tentative="0">
      <w:start w:val="1"/>
      <w:numFmt w:val="decimal"/>
      <w:pStyle w:val="64"/>
      <w:suff w:val="space"/>
      <w:lvlText w:val="%1.%2.%3"/>
      <w:lvlJc w:val="left"/>
      <w:pPr>
        <w:ind w:left="709" w:hanging="709"/>
      </w:pPr>
      <w:rPr>
        <w:rFonts w:hint="default" w:ascii="Times New Roman" w:hAnsi="Times New Roman" w:eastAsia="黑体"/>
        <w:b/>
        <w:i w:val="0"/>
        <w:sz w:val="24"/>
        <w:szCs w:val="24"/>
      </w:r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67DFE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8F368D"/>
    <w:rsid w:val="109951E3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519F"/>
    <w:rsid w:val="165F01AF"/>
    <w:rsid w:val="16913178"/>
    <w:rsid w:val="16FF6615"/>
    <w:rsid w:val="17002DF8"/>
    <w:rsid w:val="174C337B"/>
    <w:rsid w:val="17557CB9"/>
    <w:rsid w:val="177FDB91"/>
    <w:rsid w:val="18AB0A17"/>
    <w:rsid w:val="18E62D51"/>
    <w:rsid w:val="192E4AE6"/>
    <w:rsid w:val="19AB6E72"/>
    <w:rsid w:val="1A7306A9"/>
    <w:rsid w:val="1AB145E1"/>
    <w:rsid w:val="1AE90104"/>
    <w:rsid w:val="1B0A5D65"/>
    <w:rsid w:val="1B3F285C"/>
    <w:rsid w:val="1BF40A8D"/>
    <w:rsid w:val="1C1856EB"/>
    <w:rsid w:val="1CB440FB"/>
    <w:rsid w:val="1CED02F1"/>
    <w:rsid w:val="1D2D43D9"/>
    <w:rsid w:val="1D781EA3"/>
    <w:rsid w:val="1E630C0C"/>
    <w:rsid w:val="1E8539B9"/>
    <w:rsid w:val="1E9B7A75"/>
    <w:rsid w:val="1FBE71E9"/>
    <w:rsid w:val="20282FFF"/>
    <w:rsid w:val="20E347C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D70F94"/>
    <w:rsid w:val="2AF21C5F"/>
    <w:rsid w:val="2AFD6FC6"/>
    <w:rsid w:val="2B053FA0"/>
    <w:rsid w:val="2B2636BF"/>
    <w:rsid w:val="2B6A3B8F"/>
    <w:rsid w:val="2B9B40AD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7A7D64"/>
    <w:rsid w:val="37B72FA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E3133CA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4B012A"/>
    <w:rsid w:val="448C6831"/>
    <w:rsid w:val="4597370E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B12476D"/>
    <w:rsid w:val="4B154B9B"/>
    <w:rsid w:val="4B7655EE"/>
    <w:rsid w:val="4C0814C4"/>
    <w:rsid w:val="4C9F0FD7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3A523B4"/>
    <w:rsid w:val="54AC42D6"/>
    <w:rsid w:val="54FB217D"/>
    <w:rsid w:val="551B6739"/>
    <w:rsid w:val="551E569C"/>
    <w:rsid w:val="557C1FAA"/>
    <w:rsid w:val="557F01C6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FC6E05"/>
    <w:rsid w:val="68B735CD"/>
    <w:rsid w:val="68C75D5B"/>
    <w:rsid w:val="68CA3301"/>
    <w:rsid w:val="69457F1D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DC0525D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5B6EB4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7694290"/>
    <w:rsid w:val="7814095E"/>
    <w:rsid w:val="7974090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8D40CC"/>
    <w:rsid w:val="7D920635"/>
    <w:rsid w:val="7E0B0D0A"/>
    <w:rsid w:val="7E747036"/>
    <w:rsid w:val="7EBE525E"/>
    <w:rsid w:val="7EDEEC59"/>
    <w:rsid w:val="7F460DAF"/>
    <w:rsid w:val="7F5D2C60"/>
    <w:rsid w:val="7FDA08A8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2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3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4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6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7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8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5"/>
    <w:link w:val="25"/>
    <w:qFormat/>
    <w:uiPriority w:val="99"/>
    <w:pPr>
      <w:spacing w:after="0"/>
      <w:ind w:firstLine="498"/>
    </w:pPr>
  </w:style>
  <w:style w:type="table" w:styleId="16">
    <w:name w:val="Table Grid"/>
    <w:basedOn w:val="15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qFormat/>
    <w:uiPriority w:val="99"/>
    <w:rPr>
      <w:rFonts w:cs="Times New Roman"/>
      <w:color w:val="CC0000"/>
    </w:rPr>
  </w:style>
  <w:style w:type="character" w:styleId="20">
    <w:name w:val="Hyperlink"/>
    <w:basedOn w:val="17"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2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字符"/>
    <w:basedOn w:val="17"/>
    <w:link w:val="5"/>
    <w:qFormat/>
    <w:locked/>
    <w:uiPriority w:val="99"/>
  </w:style>
  <w:style w:type="character" w:customStyle="1" w:styleId="25">
    <w:name w:val="正文文本首行缩进 字符"/>
    <w:link w:val="14"/>
    <w:qFormat/>
    <w:locked/>
    <w:uiPriority w:val="99"/>
    <w:rPr>
      <w:rFonts w:cs="Times New Roman"/>
    </w:rPr>
  </w:style>
  <w:style w:type="character" w:customStyle="1" w:styleId="26">
    <w:name w:val="批注框文本 字符"/>
    <w:link w:val="7"/>
    <w:qFormat/>
    <w:locked/>
    <w:uiPriority w:val="99"/>
    <w:rPr>
      <w:sz w:val="18"/>
    </w:rPr>
  </w:style>
  <w:style w:type="character" w:customStyle="1" w:styleId="27">
    <w:name w:val="页脚 字符"/>
    <w:link w:val="8"/>
    <w:qFormat/>
    <w:locked/>
    <w:uiPriority w:val="99"/>
    <w:rPr>
      <w:sz w:val="18"/>
    </w:rPr>
  </w:style>
  <w:style w:type="character" w:customStyle="1" w:styleId="28">
    <w:name w:val="页眉 字符"/>
    <w:link w:val="9"/>
    <w:qFormat/>
    <w:locked/>
    <w:uiPriority w:val="99"/>
    <w:rPr>
      <w:sz w:val="18"/>
    </w:rPr>
  </w:style>
  <w:style w:type="character" w:customStyle="1" w:styleId="29">
    <w:name w:val="标题 字符"/>
    <w:link w:val="13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qFormat/>
    <w:uiPriority w:val="99"/>
    <w:pPr>
      <w:ind w:hanging="360"/>
    </w:pPr>
  </w:style>
  <w:style w:type="paragraph" w:customStyle="1" w:styleId="35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qFormat/>
    <w:uiPriority w:val="99"/>
  </w:style>
  <w:style w:type="character" w:customStyle="1" w:styleId="42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qFormat/>
    <w:uiPriority w:val="99"/>
    <w:rPr>
      <w:b/>
      <w:sz w:val="44"/>
    </w:rPr>
  </w:style>
  <w:style w:type="character" w:customStyle="1" w:styleId="44">
    <w:name w:val="Body Text First Indent Char1"/>
    <w:qFormat/>
    <w:uiPriority w:val="99"/>
    <w:rPr>
      <w:sz w:val="24"/>
    </w:rPr>
  </w:style>
  <w:style w:type="character" w:customStyle="1" w:styleId="45">
    <w:name w:val="apple-converted-space"/>
    <w:qFormat/>
    <w:uiPriority w:val="99"/>
  </w:style>
  <w:style w:type="character" w:customStyle="1" w:styleId="46">
    <w:name w:val="论文正文1 Char"/>
    <w:qFormat/>
    <w:uiPriority w:val="99"/>
    <w:rPr>
      <w:sz w:val="24"/>
    </w:rPr>
  </w:style>
  <w:style w:type="paragraph" w:customStyle="1" w:styleId="47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qFormat/>
    <w:uiPriority w:val="0"/>
  </w:style>
  <w:style w:type="character" w:customStyle="1" w:styleId="52">
    <w:name w:val="明显强调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17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6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7">
    <w:name w:val="网格型浅色1"/>
    <w:basedOn w:val="1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8">
    <w:name w:val="网格表 6 彩色 - 着色 51"/>
    <w:basedOn w:val="15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59">
    <w:name w:val="明显强调1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1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2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3">
    <w:name w:val="无"/>
    <w:qFormat/>
    <w:uiPriority w:val="0"/>
  </w:style>
  <w:style w:type="paragraph" w:customStyle="1" w:styleId="64">
    <w:name w:val="1.1.1标题(4级大纲)"/>
    <w:basedOn w:val="65"/>
    <w:next w:val="67"/>
    <w:qFormat/>
    <w:uiPriority w:val="0"/>
    <w:pPr>
      <w:numPr>
        <w:ilvl w:val="2"/>
        <w:numId w:val="2"/>
      </w:numPr>
      <w:tabs>
        <w:tab w:val="left" w:pos="240"/>
      </w:tabs>
      <w:spacing w:after="156"/>
    </w:pPr>
    <w:rPr>
      <w:sz w:val="24"/>
    </w:rPr>
  </w:style>
  <w:style w:type="paragraph" w:customStyle="1" w:styleId="65">
    <w:name w:val="1.1标题(3级大纲)"/>
    <w:basedOn w:val="66"/>
    <w:next w:val="67"/>
    <w:qFormat/>
    <w:uiPriority w:val="0"/>
    <w:pPr>
      <w:numPr>
        <w:ilvl w:val="1"/>
        <w:numId w:val="2"/>
      </w:numPr>
      <w:tabs>
        <w:tab w:val="left" w:pos="240"/>
      </w:tabs>
      <w:outlineLvl w:val="2"/>
    </w:pPr>
    <w:rPr>
      <w:sz w:val="28"/>
    </w:rPr>
  </w:style>
  <w:style w:type="paragraph" w:customStyle="1" w:styleId="66">
    <w:name w:val="1 标题(2级大纲)"/>
    <w:qFormat/>
    <w:uiPriority w:val="0"/>
    <w:pPr>
      <w:numPr>
        <w:ilvl w:val="0"/>
        <w:numId w:val="2"/>
      </w:numPr>
      <w:tabs>
        <w:tab w:val="left" w:pos="240"/>
      </w:tabs>
      <w:spacing w:after="50" w:afterLines="50" w:line="360" w:lineRule="auto"/>
      <w:outlineLvl w:val="1"/>
    </w:pPr>
    <w:rPr>
      <w:rFonts w:ascii="Times New Roman" w:hAnsi="Times New Roman" w:eastAsia="黑体" w:cs="Times New Roman"/>
      <w:b/>
      <w:kern w:val="2"/>
      <w:sz w:val="30"/>
      <w:szCs w:val="24"/>
      <w:lang w:val="en-US" w:eastAsia="zh-CN" w:bidi="ar-SA"/>
    </w:rPr>
  </w:style>
  <w:style w:type="paragraph" w:customStyle="1" w:styleId="67">
    <w:name w:val="论文正文"/>
    <w:basedOn w:val="1"/>
    <w:qFormat/>
    <w:uiPriority w:val="0"/>
    <w:pPr>
      <w:spacing w:line="360" w:lineRule="auto"/>
      <w:ind w:firstLine="200" w:firstLineChars="200"/>
    </w:pPr>
  </w:style>
  <w:style w:type="paragraph" w:customStyle="1" w:styleId="68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8</Pages>
  <Words>2692</Words>
  <Characters>3400</Characters>
  <Lines>29</Lines>
  <Paragraphs>8</Paragraphs>
  <TotalTime>0</TotalTime>
  <ScaleCrop>false</ScaleCrop>
  <LinksUpToDate>false</LinksUpToDate>
  <CharactersWithSpaces>3490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2024-07-10T09:15:29Z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1D6E7803423344A6BDA9B691539345BE_13</vt:lpwstr>
  </property>
</Properties>
</file>