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Western blot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2336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Western blot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3360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5408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6" w:name="_GoBack"/>
      <w:bookmarkEnd w:id="3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32418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line="360" w:lineRule="auto"/>
        <w:rPr>
          <w:rFonts w:hint="eastAsia"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_Toc32418 </w:instrText>
          </w:r>
          <w:r>
            <w:fldChar w:fldCharType="separate"/>
          </w:r>
          <w:r>
            <w:t>声明</w:t>
          </w:r>
          <w:r>
            <w:tab/>
          </w:r>
          <w:r>
            <w:fldChar w:fldCharType="begin"/>
          </w:r>
          <w:r>
            <w:instrText xml:space="preserve"> PAGEREF _Toc32418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310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_Toc16974 </w:instrText>
          </w:r>
          <w:r>
            <w:rPr>
              <w:lang w:val="zh-CN"/>
            </w:rPr>
            <w:fldChar w:fldCharType="separate"/>
          </w:r>
          <w:r>
            <w:t>一、 样本信息</w:t>
          </w:r>
          <w:r>
            <w:tab/>
          </w:r>
          <w:r>
            <w:fldChar w:fldCharType="begin"/>
          </w:r>
          <w:r>
            <w:instrText xml:space="preserve"> PAGEREF _Toc16974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_Toc14574 </w:instrText>
          </w:r>
          <w:r>
            <w:rPr>
              <w:lang w:val="zh-CN"/>
            </w:rPr>
            <w:fldChar w:fldCharType="separate"/>
          </w:r>
          <w:r>
            <w:t>二、 实验仪器</w:t>
          </w:r>
          <w:r>
            <w:tab/>
          </w:r>
          <w:r>
            <w:fldChar w:fldCharType="begin"/>
          </w:r>
          <w:r>
            <w:instrText xml:space="preserve"> PAGEREF _Toc14574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_Toc19601 </w:instrText>
          </w:r>
          <w:r>
            <w:rPr>
              <w:lang w:val="zh-CN"/>
            </w:rPr>
            <w:fldChar w:fldCharType="separate"/>
          </w:r>
          <w:r>
            <w:t>三、 实验步骤</w:t>
          </w:r>
          <w:r>
            <w:tab/>
          </w:r>
          <w:r>
            <w:fldChar w:fldCharType="begin"/>
          </w:r>
          <w:r>
            <w:instrText xml:space="preserve"> PAGEREF _Toc19601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_Toc13778 </w:instrText>
          </w:r>
          <w:r>
            <w:rPr>
              <w:lang w:val="zh-CN"/>
            </w:rPr>
            <w:fldChar w:fldCharType="separate"/>
          </w:r>
          <w:r>
            <w:t xml:space="preserve">1. </w:t>
          </w:r>
          <w:r>
            <w:rPr>
              <w:rFonts w:hint="eastAsia"/>
              <w:lang w:val="en-US" w:eastAsia="zh-CN"/>
            </w:rPr>
            <w:t>蛋白提取</w:t>
          </w:r>
          <w:r>
            <w:tab/>
          </w:r>
          <w:r>
            <w:fldChar w:fldCharType="begin"/>
          </w:r>
          <w:r>
            <w:instrText xml:space="preserve"> PAGEREF _Toc13778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_Toc11657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贴壁细胞总蛋白提取</w:t>
          </w:r>
          <w:r>
            <w:tab/>
          </w:r>
          <w:r>
            <w:fldChar w:fldCharType="begin"/>
          </w:r>
          <w:r>
            <w:instrText xml:space="preserve"> PAGEREF _Toc11657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_Toc3109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eastAsia="zh-CN"/>
            </w:rPr>
            <w:t>悬浮细胞总蛋白提取</w:t>
          </w:r>
          <w:r>
            <w:tab/>
          </w:r>
          <w:r>
            <w:fldChar w:fldCharType="begin"/>
          </w:r>
          <w:r>
            <w:instrText xml:space="preserve"> PAGEREF _Toc3109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_Toc15996 </w:instrText>
          </w:r>
          <w:r>
            <w:rPr>
              <w:lang w:val="zh-CN"/>
            </w:rPr>
            <w:fldChar w:fldCharType="separate"/>
          </w:r>
          <w:r>
            <w:rPr>
              <w:rFonts w:hint="default"/>
              <w:lang w:val="en-US"/>
            </w:rPr>
            <w:t xml:space="preserve">2. </w:t>
          </w:r>
          <w:r>
            <w:rPr>
              <w:rFonts w:hint="eastAsia"/>
              <w:lang w:val="en-US" w:eastAsia="zh-CN"/>
            </w:rPr>
            <w:t>蛋白溶液变形</w:t>
          </w:r>
          <w:r>
            <w:tab/>
          </w:r>
          <w:r>
            <w:fldChar w:fldCharType="begin"/>
          </w:r>
          <w:r>
            <w:instrText xml:space="preserve"> PAGEREF _Toc15996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_Toc7840 </w:instrText>
          </w:r>
          <w:r>
            <w:rPr>
              <w:lang w:val="zh-CN"/>
            </w:rPr>
            <w:fldChar w:fldCharType="separate"/>
          </w:r>
          <w:r>
            <w:t xml:space="preserve">3. </w:t>
          </w:r>
          <w:r>
            <w:rPr>
              <w:rFonts w:hint="eastAsia"/>
              <w:lang w:val="en-US" w:eastAsia="zh-CN"/>
            </w:rPr>
            <w:t>制胶</w:t>
          </w:r>
          <w:r>
            <w:tab/>
          </w:r>
          <w:r>
            <w:fldChar w:fldCharType="begin"/>
          </w:r>
          <w:r>
            <w:instrText xml:space="preserve"> PAGEREF _Toc7840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_Toc13223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4. 灌胶</w:t>
          </w:r>
          <w:r>
            <w:tab/>
          </w:r>
          <w:r>
            <w:fldChar w:fldCharType="begin"/>
          </w:r>
          <w:r>
            <w:instrText xml:space="preserve"> PAGEREF _Toc13223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_Toc17260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5. 电泳</w:t>
          </w:r>
          <w:r>
            <w:tab/>
          </w:r>
          <w:r>
            <w:fldChar w:fldCharType="begin"/>
          </w:r>
          <w:r>
            <w:instrText xml:space="preserve"> PAGEREF _Toc17260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_Toc6655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6. 转膜</w:t>
          </w:r>
          <w:r>
            <w:tab/>
          </w:r>
          <w:r>
            <w:fldChar w:fldCharType="begin"/>
          </w:r>
          <w:r>
            <w:instrText xml:space="preserve"> PAGEREF _Toc6655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_Toc27984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7. 封闭</w:t>
          </w:r>
          <w:r>
            <w:tab/>
          </w:r>
          <w:r>
            <w:fldChar w:fldCharType="begin"/>
          </w:r>
          <w:r>
            <w:instrText xml:space="preserve"> PAGEREF _Toc27984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_Toc29745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8. </w:t>
          </w:r>
          <w:r>
            <w:rPr>
              <w:rFonts w:hint="eastAsia"/>
              <w:u w:val="single"/>
              <w:lang w:val="en-US" w:eastAsia="zh-CN"/>
            </w:rPr>
            <w:t>一</w:t>
          </w:r>
          <w:r>
            <w:rPr>
              <w:rFonts w:hint="eastAsia"/>
              <w:lang w:val="en-US" w:eastAsia="zh-CN"/>
            </w:rPr>
            <w:t>抗孵育</w:t>
          </w:r>
          <w:r>
            <w:tab/>
          </w:r>
          <w:r>
            <w:fldChar w:fldCharType="begin"/>
          </w:r>
          <w:r>
            <w:instrText xml:space="preserve"> PAGEREF _Toc29745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ind w:firstLine="220" w:firstLineChars="100"/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_Toc2878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9. 二抗孵育</w:t>
          </w:r>
          <w:r>
            <w:tab/>
          </w:r>
          <w:r>
            <w:fldChar w:fldCharType="begin"/>
          </w:r>
          <w:r>
            <w:instrText xml:space="preserve"> PAGEREF _Toc2878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_Toc30843 </w:instrText>
          </w:r>
          <w:r>
            <w:rPr>
              <w:lang w:val="zh-CN"/>
            </w:rPr>
            <w:fldChar w:fldCharType="separate"/>
          </w:r>
          <w:r>
            <w:t xml:space="preserve">四、 </w:t>
          </w:r>
          <w:r>
            <w:rPr>
              <w:rFonts w:hint="eastAsia"/>
              <w:lang w:val="en-US" w:eastAsia="zh-CN"/>
            </w:rPr>
            <w:t>发光检测</w:t>
          </w:r>
          <w:r>
            <w:tab/>
          </w:r>
          <w:r>
            <w:fldChar w:fldCharType="begin"/>
          </w:r>
          <w:r>
            <w:instrText xml:space="preserve"> PAGEREF _Toc30843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pStyle w:val="12"/>
        <w:tabs>
          <w:tab w:val="right" w:leader="dot" w:pos="9310"/>
        </w:tabs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509220866"/>
      <w:bookmarkStart w:id="4" w:name="_Toc16974"/>
      <w:bookmarkStart w:id="5" w:name="_Toc67061766"/>
      <w:bookmarkStart w:id="6" w:name="_Toc149670078"/>
      <w:bookmarkStart w:id="7" w:name="_Toc40709121"/>
      <w:bookmarkStart w:id="8" w:name="_Toc85906420"/>
      <w:bookmarkStart w:id="9" w:name="_Toc67067673"/>
      <w:bookmarkStart w:id="10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4574"/>
      <w:bookmarkStart w:id="12" w:name="_Toc149670079"/>
      <w:bookmarkStart w:id="13" w:name="_Toc859064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电泳仪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HTJY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HT-300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PerkinElmer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Enspire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电泳槽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HTJY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HT-300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转膜槽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HTJY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HT-ZY02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842" w:type="dxa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SLK-R300-S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8951"/>
            <w:bookmarkEnd w:id="14"/>
            <w:bookmarkStart w:id="15" w:name="_Toc45790948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化学发光成像仪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勤翔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ChemiScope 6100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高通量多功能金属浴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SCI- 100HCM-Pro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图像采集软件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勤翔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ChemiScope Analysis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酶标仪</w:t>
            </w:r>
          </w:p>
        </w:tc>
        <w:tc>
          <w:tcPr>
            <w:tcW w:w="2842" w:type="dxa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KZ-IH-F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微量离心机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Betie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HBS- 1096A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S1010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Tween 20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1"/>
                <w:sz w:val="20"/>
                <w:szCs w:val="20"/>
              </w:rPr>
              <w:t>Bioforxx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蛋白Marker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3"/>
                <w:sz w:val="20"/>
                <w:szCs w:val="20"/>
                <w:lang w:eastAsia="zh-CN"/>
              </w:rPr>
              <w:t>雅酶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RIPA 裂解液（强）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z w:val="20"/>
                <w:szCs w:val="20"/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PMSF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z w:val="20"/>
                <w:szCs w:val="20"/>
              </w:rPr>
              <w:t>Servicebio</w:t>
            </w: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磷酸化蛋白酶抑制剂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z w:val="20"/>
                <w:szCs w:val="20"/>
              </w:rPr>
              <w:t>Servicebio</w:t>
            </w: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转印滤纸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z w:val="20"/>
                <w:szCs w:val="20"/>
              </w:rPr>
              <w:t>Servicebio</w:t>
            </w: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超敏 ECL 化学发光底物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1"/>
                <w:sz w:val="20"/>
                <w:szCs w:val="20"/>
                <w:lang w:eastAsia="zh-CN"/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1859C" w:themeColor="accent5" w:themeShade="BF"/>
                <w:spacing w:val="3"/>
                <w:sz w:val="20"/>
                <w:szCs w:val="20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position w:val="-1"/>
                <w:sz w:val="20"/>
                <w:szCs w:val="20"/>
              </w:rPr>
              <w:t>PVDF</w:t>
            </w: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2"/>
                <w:position w:val="-1"/>
                <w:sz w:val="20"/>
                <w:szCs w:val="20"/>
              </w:rPr>
              <w:t xml:space="preserve"> 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z w:val="20"/>
                <w:szCs w:val="20"/>
              </w:rPr>
              <w:t>MILLIPORE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31859C" w:themeColor="accent5" w:themeShade="BF"/>
                <w:sz w:val="20"/>
                <w:szCs w:val="20"/>
              </w:rPr>
              <w:t>IPVH</w:t>
            </w:r>
            <w:r>
              <w:rPr>
                <w:rFonts w:ascii="Times New Roman" w:hAnsi="Times New Roman" w:eastAsia="宋体" w:cs="Times New Roman"/>
                <w:color w:val="31859C" w:themeColor="accent5" w:themeShade="BF"/>
                <w:spacing w:val="2"/>
                <w:sz w:val="20"/>
                <w:szCs w:val="20"/>
              </w:rPr>
              <w:t>00010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960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3778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蛋白提取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2" w:afterLines="56" w:afterAutospacing="0" w:line="219" w:lineRule="auto"/>
        <w:ind w:left="238" w:leftChars="0" w:hanging="238" w:hangingChars="100"/>
        <w:textAlignment w:val="auto"/>
        <w:rPr>
          <w:rFonts w:ascii="Times New Roman" w:hAnsi="Times New Roman" w:eastAsia="宋体" w:cs="Times New Roman"/>
          <w:spacing w:val="-2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蛋白酶抑制剂母液:配成 10</w:t>
      </w:r>
      <w:r>
        <w:rPr>
          <w:rFonts w:hint="eastAsia" w:ascii="Times New Roman" w:hAnsi="Times New Roman" w:eastAsia="宋体" w:cs="Times New Roman"/>
          <w:spacing w:val="-1"/>
          <w:sz w:val="24"/>
          <w:szCs w:val="24"/>
          <w:lang w:eastAsia="zh-CN"/>
        </w:rPr>
        <w:t>x</w:t>
      </w: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 xml:space="preserve"> 母液，500</w:t>
      </w:r>
      <w:r>
        <w:rPr>
          <w:rFonts w:ascii="Times New Roman" w:hAnsi="Times New Roman" w:eastAsia="宋体" w:cs="Times New Roman"/>
          <w:spacing w:val="-1"/>
          <w:sz w:val="24"/>
          <w:szCs w:val="24"/>
        </w:rPr>
        <w:t>μ</w:t>
      </w: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l溶解到 5 mL</w:t>
      </w:r>
      <w:r>
        <w:rPr>
          <w:rFonts w:ascii="Times New Roman" w:hAnsi="Times New Roman" w:eastAsia="宋体" w:cs="Times New Roman"/>
          <w:spacing w:val="1"/>
          <w:sz w:val="24"/>
          <w:szCs w:val="24"/>
          <w:lang w:eastAsia="zh-CN"/>
        </w:rPr>
        <w:t xml:space="preserve"> RIPA</w:t>
      </w:r>
      <w:r>
        <w:rPr>
          <w:rFonts w:ascii="Times New Roman" w:hAnsi="Times New Roman" w:eastAsia="宋体" w:cs="Times New Roman"/>
          <w:spacing w:val="32"/>
          <w:sz w:val="24"/>
          <w:szCs w:val="24"/>
          <w:lang w:eastAsia="zh-CN"/>
        </w:rPr>
        <w:t xml:space="preserve"> </w:t>
      </w:r>
      <w:r>
        <w:rPr>
          <w:rFonts w:ascii="Times New Roman" w:hAnsi="Times New Roman" w:eastAsia="宋体" w:cs="Times New Roman"/>
          <w:spacing w:val="-2"/>
          <w:sz w:val="24"/>
          <w:szCs w:val="24"/>
          <w:lang w:eastAsia="zh-CN"/>
        </w:rPr>
        <w:t>中，分装 200</w:t>
      </w:r>
      <w:r>
        <w:rPr>
          <w:rFonts w:ascii="Times New Roman" w:hAnsi="Times New Roman" w:eastAsia="宋体" w:cs="Times New Roman"/>
          <w:spacing w:val="-1"/>
          <w:sz w:val="24"/>
          <w:szCs w:val="24"/>
        </w:rPr>
        <w:t>μ</w:t>
      </w:r>
      <w:r>
        <w:rPr>
          <w:rFonts w:ascii="Times New Roman" w:hAnsi="Times New Roman" w:eastAsia="宋体" w:cs="Times New Roman"/>
          <w:spacing w:val="-2"/>
          <w:sz w:val="24"/>
          <w:szCs w:val="24"/>
          <w:lang w:eastAsia="zh-CN"/>
        </w:rPr>
        <w:t xml:space="preserve">L管，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2" w:afterLines="56" w:afterAutospacing="0" w:line="219" w:lineRule="auto"/>
        <w:ind w:left="630" w:leftChars="300" w:firstLine="0" w:firstLineChars="0"/>
        <w:textAlignment w:val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pacing w:val="-2"/>
          <w:sz w:val="24"/>
          <w:szCs w:val="24"/>
          <w:lang w:eastAsia="zh-CN"/>
        </w:rPr>
        <w:t>-</w:t>
      </w: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20°C 保存，3 个月内有效;</w:t>
      </w:r>
    </w:p>
    <w:p>
      <w:pPr>
        <w:numPr>
          <w:ilvl w:val="0"/>
          <w:numId w:val="5"/>
        </w:numPr>
        <w:spacing w:before="160" w:after="162" w:afterLines="56" w:afterAutospacing="0" w:line="219" w:lineRule="auto"/>
        <w:ind w:left="238" w:leftChars="0" w:hanging="238" w:hangingChars="100"/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磷酸酶抑制剂母液:配成 10</w:t>
      </w:r>
      <w:r>
        <w:rPr>
          <w:rFonts w:hint="eastAsia" w:ascii="Times New Roman" w:hAnsi="Times New Roman" w:eastAsia="宋体" w:cs="Times New Roman"/>
          <w:spacing w:val="-1"/>
          <w:sz w:val="24"/>
          <w:szCs w:val="24"/>
          <w:lang w:eastAsia="zh-CN"/>
        </w:rPr>
        <w:t>x</w:t>
      </w: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 xml:space="preserve"> 母液，溶解到 </w:t>
      </w:r>
      <w:r>
        <w:rPr>
          <w:rFonts w:hint="eastAsia" w:ascii="Times New Roman" w:hAnsi="Times New Roman" w:eastAsia="宋体" w:cs="Times New Roman"/>
          <w:spacing w:val="-1"/>
          <w:sz w:val="24"/>
          <w:szCs w:val="24"/>
          <w:lang w:eastAsia="zh-CN"/>
        </w:rPr>
        <w:t>1</w:t>
      </w: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 xml:space="preserve"> mL RIPA 中，1 个月内有效;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2" w:afterLines="56" w:afterAutospacing="0" w:line="360" w:lineRule="auto"/>
        <w:ind w:left="595" w:leftChars="0" w:hanging="595" w:hangingChars="250"/>
        <w:jc w:val="both"/>
        <w:textAlignment w:val="auto"/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PMSF 配成 100mM 母液，分装成 60μL/每管，-20℃ 保存;</w:t>
      </w:r>
      <w:r>
        <w:rPr>
          <w:rFonts w:hint="eastAsia" w:ascii="Times New Roman" w:hAnsi="Times New Roman" w:eastAsia="宋体" w:cs="Times New Roman"/>
          <w:spacing w:val="-1"/>
          <w:sz w:val="24"/>
          <w:szCs w:val="24"/>
          <w:lang w:eastAsia="zh-CN"/>
        </w:rPr>
        <w:t xml:space="preserve"> </w:t>
      </w: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RIPA 工作液配好后，放 在冰上预冷。</w:t>
      </w:r>
    </w:p>
    <w:p>
      <w:pPr>
        <w:pStyle w:val="11"/>
        <w:spacing w:line="360" w:lineRule="auto"/>
        <w:jc w:val="left"/>
        <w:rPr>
          <w:rFonts w:hint="eastAsia" w:ascii="Times New Roman" w:hAnsi="Times New Roman"/>
          <w:color w:val="E46C0A" w:themeColor="accent6" w:themeShade="BF"/>
          <w:sz w:val="24"/>
          <w:szCs w:val="24"/>
          <w:lang w:eastAsia="zh-CN"/>
        </w:rPr>
      </w:pPr>
      <w:bookmarkStart w:id="20" w:name="_Toc11657"/>
      <w:r>
        <w:rPr>
          <w:rFonts w:hint="eastAsia" w:ascii="Times New Roman" w:hAnsi="Times New Roman"/>
          <w:color w:val="E46C0A" w:themeColor="accent6" w:themeShade="BF"/>
          <w:sz w:val="24"/>
          <w:szCs w:val="24"/>
          <w:lang w:eastAsia="zh-CN"/>
        </w:rPr>
        <w:t>贴壁细胞总蛋白提取</w:t>
      </w:r>
      <w:bookmarkEnd w:id="20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用 TBS 缓冲液润洗贴壁细胞 2-3 次 ，最后一次尽量吸干残留液。加入适当体积的细胞总蛋白提取 试剂（使用前数分钟内加入蛋白酶抑制剂）于培养板/瓶内裂解 3-5min。期间反复晃动培养板/瓶 ，使 试剂与细胞充分接触。用细胞刮刀将细胞及试剂刮下 ，收集到 1.5mL 离心管中。 冰浴 30min ，期间用 移液器反复吹打 ，确保细胞完全裂解。4℃12000rpm 离心 5min ，收集上清 ， 即为总蛋白溶液。</w:t>
      </w:r>
    </w:p>
    <w:p>
      <w:pPr>
        <w:pStyle w:val="11"/>
        <w:spacing w:line="360" w:lineRule="auto"/>
        <w:jc w:val="left"/>
        <w:rPr>
          <w:rFonts w:hint="eastAsia" w:ascii="Times New Roman" w:hAnsi="Times New Roman"/>
          <w:color w:val="E46C0A" w:themeColor="accent6" w:themeShade="BF"/>
          <w:sz w:val="24"/>
          <w:szCs w:val="24"/>
          <w:lang w:eastAsia="zh-CN"/>
        </w:rPr>
      </w:pPr>
      <w:bookmarkStart w:id="21" w:name="_Toc3109"/>
      <w:r>
        <w:rPr>
          <w:rFonts w:hint="eastAsia" w:ascii="Times New Roman" w:hAnsi="Times New Roman"/>
          <w:color w:val="E46C0A" w:themeColor="accent6" w:themeShade="BF"/>
          <w:sz w:val="24"/>
          <w:szCs w:val="24"/>
          <w:lang w:eastAsia="zh-CN"/>
        </w:rPr>
        <w:t>悬浮细胞总蛋白提取</w:t>
      </w:r>
      <w:bookmarkEnd w:id="21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低速离心收集细胞 ， 加入适当体积的冷却的 PBS 缓冲液重悬 ， 2000rpm 离心 10 min ， 吸除上 清。重复以上操作两次 ，收集细胞沉淀。加入适当体积的细胞总蛋白提取试剂（使用前数分钟内加入 蛋白酶抑制剂） ，振荡。 冰浴30min ，期间用移液器反复吹打 ，确保细胞完全裂解。4℃12000rpm 离 心 5min ，收集上清 ， 即为总蛋白溶液。</w:t>
      </w:r>
    </w:p>
    <w:p>
      <w:pPr>
        <w:spacing w:after="120" w:afterLines="50" w:line="360" w:lineRule="auto"/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</w:pPr>
    </w:p>
    <w:p>
      <w:pPr>
        <w:spacing w:after="120" w:afterLines="50" w:line="360" w:lineRule="auto"/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</w:pPr>
    </w:p>
    <w:p>
      <w:pPr>
        <w:spacing w:after="120" w:afterLines="50" w:line="360" w:lineRule="auto"/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  <w:t>组织总蛋白提取</w:t>
      </w: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收集细胞悬浮液样本，1000 rpm离心10分钟弃培养基，用预冷PBS润洗3次；加入适量的预冷PBS重悬细胞，反复冻融破碎，收集样本，4 ℃ 10000×g离心10分钟，取上清，检测或者分装后-20 ℃或 -80 ℃保存，避免反复冻融。</w:t>
      </w:r>
    </w:p>
    <w:p>
      <w:pPr>
        <w:spacing w:after="120" w:afterLines="50" w:line="360" w:lineRule="auto"/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  <w:t>胞浆胞核蛋白提取</w:t>
      </w: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收集细胞 ，将细胞重悬于适当体积的浆蛋白提取试剂（使用前数分钟内加入蛋白酶抑制剂） 中 ， 振荡混匀 15 秒 ，使细胞完全悬浮并分散开。如果细胞沉淀没有完全悬浮并分散开 ，可以适当延长振 荡混匀时间。 冰浴 30 min。高速振荡混匀 5 s ，4 ℃ 12000rpm 离心 10 min。 吸取上清至一预冷的离 心管中 ， 即为细胞浆蛋白。 吸尽上清（上清尽量去净 ，避免浆蛋白污染） ，加入适当体积的核蛋白提 取试剂（使用前数分钟内加入蛋白酶抑制剂） ，高速振荡混匀 15 秒 ，使沉淀完全悬浮并分散开。 冰 浴 30min ，每隔 5min 剧烈振荡混匀 10 ～20s ， 4 ℃ 12000rpm 离心 10 min。 吸取上清至一预冷的离心 管中 ， 即为细胞核蛋白。</w:t>
      </w: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hint="default" w:ascii="Times New Roman" w:hAnsi="Times New Roman" w:eastAsiaTheme="minorEastAsia"/>
          <w:sz w:val="28"/>
          <w:szCs w:val="28"/>
          <w:lang w:val="en-US"/>
        </w:rPr>
      </w:pPr>
      <w:bookmarkStart w:id="22" w:name="_Toc15996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蛋白溶液变形</w:t>
      </w:r>
      <w:bookmarkEnd w:id="22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每个样品总蛋白溶液加入 2*loading buffer,涡旋混匀 ， 100 度加热 5min ，在加热前 30s ，注意要 打开盖子再合上继续煮 ，注意看煮完后蛋白的粘稠度 ，如果比较粘稠需要继续煮样本直至样本呈水 样。</w:t>
      </w:r>
    </w:p>
    <w:p>
      <w:pPr>
        <w:spacing w:line="240" w:lineRule="auto"/>
        <w:ind w:left="0" w:right="0" w:firstLine="0"/>
        <w:rPr>
          <w:rFonts w:ascii="Times New Roman" w:hAnsi="Times New Roman" w:eastAsia="宋体" w:cs="Times New Roman"/>
          <w:color w:val="E36C09"/>
          <w:spacing w:val="-23"/>
          <w:sz w:val="20"/>
          <w:szCs w:val="20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  <w:t>细胞样品</w:t>
      </w:r>
      <w:r>
        <w:rPr>
          <w:rFonts w:ascii="Times New Roman" w:hAnsi="Times New Roman" w:eastAsia="宋体" w:cs="Times New Roman"/>
          <w:color w:val="E36C09"/>
          <w:spacing w:val="-23"/>
          <w:sz w:val="20"/>
          <w:szCs w:val="20"/>
          <w:lang w:eastAsia="zh-CN"/>
        </w:rPr>
        <w:t xml:space="preserve"> </w:t>
      </w: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离心 ，涡旋混匀后再离心 ，继续往后实验 ，如果不立即电泳 ，则放在-80 度保存 ，使用前 完全解冻后 ，涡旋混匀 ，离心后再点样；</w:t>
      </w:r>
    </w:p>
    <w:p>
      <w:pPr>
        <w:spacing w:line="240" w:lineRule="auto"/>
        <w:ind w:left="0" w:right="0"/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b/>
          <w:bCs/>
          <w:color w:val="E46C0A" w:themeColor="accent6" w:themeShade="BF"/>
          <w:kern w:val="28"/>
          <w:sz w:val="24"/>
          <w:szCs w:val="24"/>
          <w:lang w:val="en-US" w:eastAsia="zh-CN" w:bidi="ar-SA"/>
        </w:rPr>
        <w:t xml:space="preserve">组织样品 </w:t>
      </w: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 xml:space="preserve"> 离心 ，将上清转移到一个新的 EP 管中 ， 混匀后再离心 ， 继续往后实验 ， 如果不立即电 泳 ，则放在-80 度保存 ，使用前完全解冻后 ，涡旋混匀 ，离心后再点样。</w:t>
      </w: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3" w:name="_Toc7840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制胶</w:t>
      </w:r>
      <w:bookmarkEnd w:id="23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根据蛋白的分子量大小 ， 配制 10%的分离胶和 5 %的浓缩胶 ， 为防止胶凝固应在加入 TEMED 后 立即灌胶；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hint="eastAsia" w:ascii="Times New Roman" w:hAnsi="Times New Roman" w:eastAsiaTheme="minorEastAsia"/>
          <w:sz w:val="28"/>
          <w:szCs w:val="28"/>
          <w:lang w:val="en-US" w:eastAsia="zh-CN"/>
        </w:rPr>
      </w:pPr>
      <w:bookmarkStart w:id="24" w:name="_Toc13223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灌胶</w:t>
      </w:r>
      <w:bookmarkEnd w:id="24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将干净的玻璃板固定好 ，然后加入预先配制好的分离胶 ，并加水液封除去气泡。待胶凝固后 ，用 滤纸吸干玻璃板中水分 ，然后加入浓缩胶并插入梳子 ，待胶再次凝固后轻轻拔出梳子；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hint="eastAsia" w:ascii="Times New Roman" w:hAnsi="Times New Roman" w:eastAsiaTheme="minorEastAsia"/>
          <w:sz w:val="28"/>
          <w:szCs w:val="28"/>
          <w:lang w:val="en-US" w:eastAsia="zh-CN"/>
        </w:rPr>
      </w:pPr>
      <w:bookmarkStart w:id="25" w:name="bookmark8"/>
      <w:bookmarkEnd w:id="25"/>
      <w:bookmarkStart w:id="26" w:name="_Toc17260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电泳</w:t>
      </w:r>
      <w:bookmarkEnd w:id="26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处理好的各组蛋白样品并开始电泳。浓缩胶电压为 80 V ，分离胶电压为 130 V ，待条带到达玻璃 板底部时结束电泳；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hint="eastAsia" w:ascii="Times New Roman" w:hAnsi="Times New Roman" w:eastAsiaTheme="minorEastAsia"/>
          <w:sz w:val="28"/>
          <w:szCs w:val="28"/>
          <w:lang w:val="en-US" w:eastAsia="zh-CN"/>
        </w:rPr>
      </w:pPr>
      <w:bookmarkStart w:id="27" w:name="bookmark9"/>
      <w:bookmarkEnd w:id="27"/>
      <w:bookmarkStart w:id="28" w:name="_Toc6655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转膜</w:t>
      </w:r>
      <w:bookmarkEnd w:id="28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PVDF 膜于甲醇中活化 1 min ，将夹子的黑色面放入装有转移液的玻璃平皿中 ，从下到上依次放 入一层海绵垫 ，三层滤纸 ，分离胶 ， PVDF 膜 ，三层滤纸 ，最后盖上一层海绵垫 ，排掉气泡 ，夹紧夹 子 ，加入预冷的转膜液 ，设定电流为 250 mA ，于冰浴中转膜 1.0 h；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hint="eastAsia" w:ascii="Times New Roman" w:hAnsi="Times New Roman" w:eastAsiaTheme="minorEastAsia"/>
          <w:sz w:val="28"/>
          <w:szCs w:val="28"/>
          <w:lang w:val="en-US" w:eastAsia="zh-CN"/>
        </w:rPr>
      </w:pPr>
      <w:bookmarkStart w:id="29" w:name="bookmark10"/>
      <w:bookmarkEnd w:id="29"/>
      <w:bookmarkStart w:id="30" w:name="_Toc27984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封闭</w:t>
      </w:r>
      <w:bookmarkEnd w:id="30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将上一步转好的 PVDF 膜放入适量 5 %脱脂奶粉中 ，于脱色摇床上振荡封闭 1 h；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hint="eastAsia" w:ascii="Times New Roman" w:hAnsi="Times New Roman" w:eastAsiaTheme="minorEastAsia"/>
          <w:sz w:val="28"/>
          <w:szCs w:val="28"/>
          <w:lang w:val="en-US" w:eastAsia="zh-CN"/>
        </w:rPr>
      </w:pPr>
      <w:bookmarkStart w:id="31" w:name="bookmark11"/>
      <w:bookmarkEnd w:id="31"/>
      <w:bookmarkStart w:id="32" w:name="_Toc29745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一抗孵育</w:t>
      </w:r>
      <w:bookmarkEnd w:id="32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一抗按照试剂与耗材表中的比例用 TBST 稀释 ，将封闭后的 PVDF 膜装入孵育盒中 4 °C 孵育过 夜。用 TBST 洗 5 次 ，每次 5 min；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hint="eastAsia" w:ascii="Times New Roman" w:hAnsi="Times New Roman" w:eastAsiaTheme="minorEastAsia"/>
          <w:sz w:val="28"/>
          <w:szCs w:val="28"/>
          <w:lang w:val="en-US" w:eastAsia="zh-CN"/>
        </w:rPr>
      </w:pPr>
      <w:bookmarkStart w:id="33" w:name="bookmark12"/>
      <w:bookmarkEnd w:id="33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 xml:space="preserve"> </w:t>
      </w:r>
      <w:bookmarkStart w:id="34" w:name="_Toc2878"/>
      <w:r>
        <w:rPr>
          <w:rFonts w:hint="eastAsia" w:ascii="Times New Roman" w:hAnsi="Times New Roman" w:eastAsiaTheme="minorEastAsia"/>
          <w:sz w:val="28"/>
          <w:szCs w:val="28"/>
          <w:lang w:val="en-US" w:eastAsia="zh-CN"/>
        </w:rPr>
        <w:t>二抗孵育</w:t>
      </w:r>
      <w:bookmarkEnd w:id="34"/>
    </w:p>
    <w:p>
      <w:pPr>
        <w:spacing w:after="120" w:afterLines="50" w:line="360" w:lineRule="auto"/>
        <w:ind w:firstLine="480" w:firstLineChars="200"/>
        <w:rPr>
          <w:rFonts w:hint="eastAsia" w:ascii="Times New Roman" w:hAnsi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二抗按照试剂与耗材表中的比例用 TBST 稀释 。将膜二抗中孵育 1 h 。 用 TBST 洗 5 次 ， 每次 5 min；</w:t>
      </w:r>
    </w:p>
    <w:p>
      <w:pPr>
        <w:spacing w:after="120" w:afterLines="50" w:line="360" w:lineRule="auto"/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>
      <w:pPr>
        <w:spacing w:after="120" w:afterLines="50" w:line="360" w:lineRule="auto"/>
        <w:rPr>
          <w:rFonts w:hint="eastAsia" w:ascii="Times New Roman" w:hAnsi="Times New Roman" w:eastAsiaTheme="minorEastAsia"/>
          <w:sz w:val="24"/>
          <w:szCs w:val="24"/>
          <w:lang w:eastAsia="zh-CN"/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5" w:name="_Toc30843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发光检测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2" w:afterLines="56" w:afterAutospacing="0" w:line="219" w:lineRule="auto"/>
        <w:ind w:left="238" w:leftChars="0" w:hanging="238" w:hangingChars="100"/>
        <w:textAlignment w:val="auto"/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滴加新鲜配制的 ECL 混合溶液到膜的蛋白面侧 ，发光检测。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2" w:afterLines="56" w:afterAutospacing="0" w:line="219" w:lineRule="auto"/>
        <w:ind w:left="238" w:leftChars="0" w:hanging="238" w:hangingChars="100"/>
        <w:textAlignment w:val="auto"/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根据不同的光强度调整曝光条件 ，显影。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2" w:afterLines="56" w:afterAutospacing="0" w:line="219" w:lineRule="auto"/>
        <w:ind w:left="238" w:leftChars="0" w:hanging="238" w:hangingChars="100"/>
        <w:textAlignment w:val="auto"/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结果分析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2" w:afterLines="56" w:afterAutospacing="0" w:line="219" w:lineRule="auto"/>
        <w:ind w:left="238" w:leftChars="0" w:hanging="238" w:hangingChars="100"/>
        <w:textAlignment w:val="auto"/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pacing w:val="-1"/>
          <w:sz w:val="24"/>
          <w:szCs w:val="24"/>
          <w:lang w:eastAsia="zh-CN"/>
        </w:rPr>
        <w:t>将图片进行存档 ， ImageJ 软件处理系统分析目标带的光密度值。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</w:t>
      </w:r>
      <w:r>
        <w:rPr>
          <w:rStyle w:val="18"/>
          <w:rFonts w:hint="eastAsia" w:ascii="Times New Roman" w:hAnsi="Times New Roman" w:eastAsiaTheme="minorEastAsia"/>
          <w:color w:val="FF0000"/>
          <w:sz w:val="24"/>
          <w:szCs w:val="24"/>
        </w:rPr>
        <w:t>表格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6432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4384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8480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7456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DC9C5"/>
    <w:multiLevelType w:val="singleLevel"/>
    <w:tmpl w:val="867DC9C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83BF7B0"/>
    <w:multiLevelType w:val="singleLevel"/>
    <w:tmpl w:val="983BF7B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3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A6A37"/>
    <w:rsid w:val="000B1188"/>
    <w:rsid w:val="000B6017"/>
    <w:rsid w:val="000B7194"/>
    <w:rsid w:val="000B71BB"/>
    <w:rsid w:val="000B7DF9"/>
    <w:rsid w:val="000D5A7E"/>
    <w:rsid w:val="000D7AF8"/>
    <w:rsid w:val="000E564D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4F73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77C56"/>
    <w:rsid w:val="00380381"/>
    <w:rsid w:val="00380A15"/>
    <w:rsid w:val="00382E9F"/>
    <w:rsid w:val="00391BEF"/>
    <w:rsid w:val="00393DE0"/>
    <w:rsid w:val="00395D87"/>
    <w:rsid w:val="003A074D"/>
    <w:rsid w:val="003A3550"/>
    <w:rsid w:val="003A4ACB"/>
    <w:rsid w:val="003B47A6"/>
    <w:rsid w:val="003B65D0"/>
    <w:rsid w:val="003B6EC4"/>
    <w:rsid w:val="003C31E8"/>
    <w:rsid w:val="003C3B23"/>
    <w:rsid w:val="003C4BF5"/>
    <w:rsid w:val="003C7BC8"/>
    <w:rsid w:val="003D2F0C"/>
    <w:rsid w:val="003E6482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5F7DFE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1E39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E1CBE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0D39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9E6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997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3870D5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876E4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0B95885"/>
    <w:rsid w:val="11255A1E"/>
    <w:rsid w:val="120C61ED"/>
    <w:rsid w:val="13136145"/>
    <w:rsid w:val="135F33F5"/>
    <w:rsid w:val="14027288"/>
    <w:rsid w:val="140C23A5"/>
    <w:rsid w:val="14D2562C"/>
    <w:rsid w:val="14FA59C9"/>
    <w:rsid w:val="15A80E34"/>
    <w:rsid w:val="1649519F"/>
    <w:rsid w:val="167A30AD"/>
    <w:rsid w:val="16913178"/>
    <w:rsid w:val="16D71C13"/>
    <w:rsid w:val="16FF6615"/>
    <w:rsid w:val="17002DF8"/>
    <w:rsid w:val="174A6DB1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2A6565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C9E22F5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0E30A0"/>
    <w:rsid w:val="306A53C9"/>
    <w:rsid w:val="30AA0DE7"/>
    <w:rsid w:val="311A06DB"/>
    <w:rsid w:val="31A524C4"/>
    <w:rsid w:val="32C835A9"/>
    <w:rsid w:val="332A5E8E"/>
    <w:rsid w:val="332E2F29"/>
    <w:rsid w:val="340A7DC1"/>
    <w:rsid w:val="34503692"/>
    <w:rsid w:val="367A7D64"/>
    <w:rsid w:val="37A4253C"/>
    <w:rsid w:val="37B72FAF"/>
    <w:rsid w:val="395F436A"/>
    <w:rsid w:val="39637B15"/>
    <w:rsid w:val="3A2D4A6A"/>
    <w:rsid w:val="3B7F4860"/>
    <w:rsid w:val="3B7FEF2B"/>
    <w:rsid w:val="3BA879C6"/>
    <w:rsid w:val="3BB84F93"/>
    <w:rsid w:val="3C015C45"/>
    <w:rsid w:val="3DE53B38"/>
    <w:rsid w:val="3E23681F"/>
    <w:rsid w:val="3F6459BC"/>
    <w:rsid w:val="40257BBA"/>
    <w:rsid w:val="40B03CFF"/>
    <w:rsid w:val="415C79E3"/>
    <w:rsid w:val="41CA0DF1"/>
    <w:rsid w:val="41EA6017"/>
    <w:rsid w:val="42107BEE"/>
    <w:rsid w:val="421C381E"/>
    <w:rsid w:val="426C1B24"/>
    <w:rsid w:val="42A51C96"/>
    <w:rsid w:val="42DF6B1E"/>
    <w:rsid w:val="43FF39E1"/>
    <w:rsid w:val="444B012A"/>
    <w:rsid w:val="445D5F4C"/>
    <w:rsid w:val="44893F3E"/>
    <w:rsid w:val="44A973E3"/>
    <w:rsid w:val="4597370E"/>
    <w:rsid w:val="47804A75"/>
    <w:rsid w:val="479E4324"/>
    <w:rsid w:val="47D7CDC5"/>
    <w:rsid w:val="482C4A17"/>
    <w:rsid w:val="485E6969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561F16"/>
    <w:rsid w:val="4FAF27B1"/>
    <w:rsid w:val="4FD82DAE"/>
    <w:rsid w:val="4FFA6B7D"/>
    <w:rsid w:val="501D3E00"/>
    <w:rsid w:val="503F0BFC"/>
    <w:rsid w:val="509B71DF"/>
    <w:rsid w:val="51002139"/>
    <w:rsid w:val="51E056AD"/>
    <w:rsid w:val="52FE7123"/>
    <w:rsid w:val="531242BB"/>
    <w:rsid w:val="53342971"/>
    <w:rsid w:val="547A16E1"/>
    <w:rsid w:val="54AC42D6"/>
    <w:rsid w:val="54FB217D"/>
    <w:rsid w:val="551B6739"/>
    <w:rsid w:val="551E569C"/>
    <w:rsid w:val="557F01C6"/>
    <w:rsid w:val="567C2762"/>
    <w:rsid w:val="56AC2486"/>
    <w:rsid w:val="57A5105B"/>
    <w:rsid w:val="58046889"/>
    <w:rsid w:val="586E37F0"/>
    <w:rsid w:val="587A136B"/>
    <w:rsid w:val="588F4CF3"/>
    <w:rsid w:val="59D40607"/>
    <w:rsid w:val="5AE0479A"/>
    <w:rsid w:val="5B740BC8"/>
    <w:rsid w:val="5B947BDB"/>
    <w:rsid w:val="5C2268F0"/>
    <w:rsid w:val="5D04101B"/>
    <w:rsid w:val="5D5E6C15"/>
    <w:rsid w:val="5D647EF4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EF025F"/>
    <w:rsid w:val="62F537D8"/>
    <w:rsid w:val="63353005"/>
    <w:rsid w:val="6370733A"/>
    <w:rsid w:val="63BF1E11"/>
    <w:rsid w:val="64AC6391"/>
    <w:rsid w:val="64DD7202"/>
    <w:rsid w:val="66251F2C"/>
    <w:rsid w:val="66AB04AA"/>
    <w:rsid w:val="66BD32BC"/>
    <w:rsid w:val="66E5229D"/>
    <w:rsid w:val="67592E6B"/>
    <w:rsid w:val="67FC6E05"/>
    <w:rsid w:val="681E533B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BF1146A"/>
    <w:rsid w:val="6C16401E"/>
    <w:rsid w:val="6C40624E"/>
    <w:rsid w:val="6C876B11"/>
    <w:rsid w:val="6C9D4404"/>
    <w:rsid w:val="6CA25879"/>
    <w:rsid w:val="6DAE0693"/>
    <w:rsid w:val="6F56024D"/>
    <w:rsid w:val="6F954DC1"/>
    <w:rsid w:val="6FF5944C"/>
    <w:rsid w:val="704A6721"/>
    <w:rsid w:val="7057541D"/>
    <w:rsid w:val="707B1384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A2AA9"/>
    <w:rsid w:val="74526350"/>
    <w:rsid w:val="74566E91"/>
    <w:rsid w:val="74774706"/>
    <w:rsid w:val="74C63A27"/>
    <w:rsid w:val="74D23626"/>
    <w:rsid w:val="74F1132C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table" w:customStyle="1" w:styleId="6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3099</Words>
  <Characters>3655</Characters>
  <Lines>33</Lines>
  <Paragraphs>9</Paragraphs>
  <TotalTime>0</TotalTime>
  <ScaleCrop>false</ScaleCrop>
  <LinksUpToDate>false</LinksUpToDate>
  <CharactersWithSpaces>4006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2024-07-10T09:20:30Z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10791A2215E84AEB9CB415C295C013DE_13</vt:lpwstr>
  </property>
</Properties>
</file>