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ELISA实验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3360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ELISA实验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4384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6432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37" w:name="_GoBack"/>
      <w:bookmarkEnd w:id="37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613173"/>
      <w:bookmarkStart w:id="1" w:name="_Toc3116"/>
      <w:bookmarkStart w:id="2" w:name="_Toc16925339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hint="eastAsia"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44"/>
              <w:szCs w:val="44"/>
            </w:rPr>
          </w:pPr>
          <w:r>
            <w:rPr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"_Toc169613173"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_Toc169613173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"_Toc169613174"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一、样本信息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_Toc169613174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"_Toc169613175"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二、实验仪器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_Toc169613175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"_Toc169613176"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三、实验步骤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_Toc169613176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"_Toc169613177"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1.标本处理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_Toc169613177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"_Toc169613178"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血清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_Toc169613178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"_Toc169613179"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_Toc169613179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"_Toc169613180"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细胞上清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_Toc169613180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"_Toc169613181"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细胞裂解液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_Toc169613181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"_Toc169613182"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组织匀浆液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_Toc169613182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"_Toc169613183"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尿液、唾液等其他液体生物样本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_Toc169613183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"_Toc169613184"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2.BCA检测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_Toc169613184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"_Toc169613185"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3.ELISA试剂盒检测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_Toc169613185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"_Toc169613186"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四、数据分析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_Toc169613186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9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40709121"/>
      <w:bookmarkStart w:id="4" w:name="_Toc54712428"/>
      <w:bookmarkStart w:id="5" w:name="_Toc509220866"/>
      <w:bookmarkStart w:id="6" w:name="_Toc149670078"/>
      <w:bookmarkStart w:id="7" w:name="_Toc169613174"/>
      <w:bookmarkStart w:id="8" w:name="_Toc67061766"/>
      <w:bookmarkStart w:id="9" w:name="_Toc67067673"/>
      <w:bookmarkStart w:id="10" w:name="_Toc85906420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1" w:name="_Toc85906421"/>
      <w:bookmarkStart w:id="12" w:name="_Toc149670079"/>
      <w:bookmarkStart w:id="13" w:name="_Toc169613175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59264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1"/>
      <w:bookmarkEnd w:id="12"/>
      <w:bookmarkEnd w:id="1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高速微量冷冻离心机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SciloEGX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CF1524R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高速低温组织研磨仪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KZ-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III</w:t>
            </w: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-F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酶标</w:t>
            </w: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分析</w:t>
            </w: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Detielab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HBS-1096A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电子天平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幸运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FA2204E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电热鼓风干燥箱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明途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101-1B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纯水仪 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成都品成科技有限公司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PCJ-60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bookmarkStart w:id="14" w:name="_Toc457908951"/>
            <w:bookmarkEnd w:id="14"/>
            <w:bookmarkStart w:id="15" w:name="_Toc457909481"/>
            <w:bookmarkEnd w:id="15"/>
            <w:bookmarkStart w:id="16" w:name="_Toc85906423"/>
            <w:bookmarkStart w:id="17" w:name="_Toc149670081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4640110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4640040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4640060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ELISA试剂盒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詹信生物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离心管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MCT-001-150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研磨管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HT-200-M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T-001-200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T-001-1250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BS-1000-T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169613176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实验步骤</w:t>
      </w:r>
      <w:bookmarkEnd w:id="16"/>
      <w:bookmarkEnd w:id="17"/>
      <w:bookmarkEnd w:id="18"/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19" w:name="_Toc169613177"/>
      <w:r>
        <w:rPr>
          <w:rFonts w:hint="eastAsia" w:ascii="Times New Roman" w:hAnsi="Times New Roman" w:eastAsiaTheme="minorEastAsia"/>
          <w:sz w:val="28"/>
          <w:szCs w:val="28"/>
        </w:rPr>
        <w:t>标本处理</w:t>
      </w:r>
      <w:bookmarkEnd w:id="19"/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0" w:name="_Toc149670083"/>
      <w:bookmarkStart w:id="21" w:name="_Toc86324235"/>
      <w:bookmarkStart w:id="22" w:name="_Toc24322"/>
      <w:bookmarkStart w:id="23" w:name="_Toc169613178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血清</w:t>
      </w:r>
      <w:bookmarkEnd w:id="20"/>
      <w:bookmarkEnd w:id="21"/>
      <w:bookmarkEnd w:id="22"/>
      <w:bookmarkEnd w:id="2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使用不含热原和内毒素的试管，操作过程中避免任何细胞刺激，收集血液后，室温血液自然凝固10-20分钟，3000 rpm离心10分钟，仔细收集上清，检测或者分装后-20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4" w:name="_Toc169613179"/>
      <w:bookmarkStart w:id="25" w:name="_Toc4106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血浆</w:t>
      </w:r>
      <w:bookmarkEnd w:id="24"/>
      <w:bookmarkEnd w:id="25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用含抗凝剂的采集管或离心管采集血液样本，样本采集后30分钟内，3000 rpm离心10-20分钟，取上清检测或者分装后-20 ℃或 - 80℃保存，避免反复冻融。保存过程中如有沉淀形成，应该再次离心。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6" w:name="_Toc169613180"/>
      <w:bookmarkStart w:id="27" w:name="_Toc10100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细胞上清</w:t>
      </w:r>
      <w:bookmarkEnd w:id="26"/>
      <w:bookmarkEnd w:id="27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收集好的细胞上清样本，2000-3000 rpm离心20分钟，除去细胞碎片和杂质，取上清，检测或者分装后-20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8" w:name="_Toc19683"/>
      <w:bookmarkStart w:id="29" w:name="_Toc169613181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细胞裂解液</w:t>
      </w:r>
      <w:bookmarkEnd w:id="28"/>
      <w:bookmarkEnd w:id="29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收集细胞悬浮液样本，1000 rpm离心10分钟弃培养基，用预冷PBS润洗3次；加入适量的预冷PBS重悬细胞，反复冻融破碎，收集样本，4 ℃ 10000×g离心10分钟，取上清，检测或者分装后-20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30" w:name="_Toc169613182"/>
      <w:bookmarkStart w:id="31" w:name="_Toc6143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组织匀浆液</w:t>
      </w:r>
      <w:bookmarkEnd w:id="30"/>
      <w:bookmarkEnd w:id="31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组织处理好后，加入预冷的0.01M  pH 7.4的PBS进行匀浆，建议组织重量与PBS体积比例为1:9，即1 g组织，加入9 mL PBS；匀浆要在冰上或冰浴中进行；收集匀浆液4 ℃ 10000×g离心5～10分钟，取上清，检测或者分装后-20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32" w:name="_Toc169613183"/>
      <w:bookmarkStart w:id="33" w:name="_Toc18719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3311525</wp:posOffset>
                </wp:positionH>
                <wp:positionV relativeFrom="margin">
                  <wp:posOffset>4302125</wp:posOffset>
                </wp:positionV>
                <wp:extent cx="209550" cy="1143000"/>
                <wp:effectExtent l="0" t="0" r="0" b="0"/>
                <wp:wrapNone/>
                <wp:docPr id="9" name="左中括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margin-left:260.75pt;margin-top:338.75pt;height:90pt;width:16.5pt;mso-position-horizontal-relative:margin;mso-position-vertical-relative:margin;z-index:251660288;mso-width-relative:page;mso-height-relative:page;" filled="f" stroked="f" coordsize="21600,21600" o:allowincell="f" o:gfxdata="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Ktm/hdgAAAALAQAADwAA&#10;AAAAAAABACAAAAAiAAAAZHJzL2Rvd25yZXYueG1sUEsBAhQAFAAAAAgAh07iQD1J0C0WAgAAFAQA&#10;AA4AAAAAAAAAAQAgAAAAJwEAAGRycy9lMm9Eb2MueG1sUEsFBgAAAAAGAAYAWQEAAK8FAAAAAA==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尿液、唾液等其他液体生物样本</w:t>
      </w:r>
      <w:bookmarkEnd w:id="32"/>
      <w:bookmarkEnd w:id="3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2000-3000×g离心10分钟，取上清检测或者分装后-20 ℃或 -80 ℃保存，避免反复冻融。保存过程中如有沉淀形成，应该再次离心。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4" w:name="_Toc169613184"/>
      <w:r>
        <w:rPr>
          <w:rFonts w:hint="eastAsia" w:ascii="Times New Roman" w:hAnsi="Times New Roman" w:eastAsiaTheme="minorEastAsia"/>
          <w:sz w:val="28"/>
          <w:szCs w:val="28"/>
        </w:rPr>
        <w:t>BCA检测</w:t>
      </w:r>
      <w:bookmarkEnd w:id="34"/>
    </w:p>
    <w:p>
      <w:pPr>
        <w:pStyle w:val="50"/>
        <w:numPr>
          <w:ilvl w:val="0"/>
          <w:numId w:val="0"/>
        </w:numPr>
        <w:spacing w:after="120" w:afterLines="50" w:line="360" w:lineRule="auto"/>
        <w:ind w:left="648" w:leftChars="0" w:hanging="648" w:hangingChars="27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BCA工作液配制：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将BCA试剂A与BCA试剂B按照体积比50:1混合，充分混匀，配成BCA工作液；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48" w:leftChars="0" w:hanging="648" w:hangingChars="27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蛋白标准品配制：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将5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mg/mL BSA蛋白标准溶液，用PBS分别稀释成0、25、125、250、500、750、1500、2000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μg/mL的BSA标准蛋白测定溶液；</w:t>
      </w:r>
    </w:p>
    <w:p>
      <w:pPr>
        <w:pStyle w:val="50"/>
        <w:spacing w:after="120" w:afterLines="50" w:line="360" w:lineRule="auto"/>
        <w:ind w:left="0" w:leftChars="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微孔板法：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①</w:t>
      </w:r>
      <w:r>
        <w:rPr>
          <w:rFonts w:hint="eastAsia" w:ascii="Times New Roman" w:hAnsi="Times New Roman" w:eastAsiaTheme="minorEastAsia"/>
          <w:sz w:val="24"/>
          <w:szCs w:val="24"/>
        </w:rPr>
        <w:t>取</w:t>
      </w:r>
      <w:r>
        <w:rPr>
          <w:rFonts w:ascii="Times New Roman" w:hAnsi="Times New Roman" w:eastAsiaTheme="minorEastAsia"/>
          <w:sz w:val="24"/>
          <w:szCs w:val="24"/>
        </w:rPr>
        <w:t>20 μL</w:t>
      </w:r>
      <w:r>
        <w:rPr>
          <w:rFonts w:hint="eastAsia" w:ascii="Times New Roman" w:hAnsi="Times New Roman" w:eastAsiaTheme="minorEastAsia"/>
          <w:sz w:val="24"/>
          <w:szCs w:val="24"/>
        </w:rPr>
        <w:t>不同浓度标准蛋白测定溶液、待测样品分别置于各孔，为测定准确每个加样孔均应做复孔；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②</w:t>
      </w:r>
      <w:r>
        <w:rPr>
          <w:rFonts w:hint="eastAsia" w:ascii="Times New Roman" w:hAnsi="Times New Roman" w:eastAsiaTheme="minorEastAsia"/>
          <w:sz w:val="24"/>
          <w:szCs w:val="24"/>
        </w:rPr>
        <w:t>每孔加入</w:t>
      </w:r>
      <w:r>
        <w:rPr>
          <w:rFonts w:ascii="Times New Roman" w:hAnsi="Times New Roman" w:eastAsiaTheme="minorEastAsia"/>
          <w:sz w:val="24"/>
          <w:szCs w:val="24"/>
        </w:rPr>
        <w:t>200 μL BCA</w:t>
      </w:r>
      <w:r>
        <w:rPr>
          <w:rFonts w:hint="eastAsia" w:ascii="Times New Roman" w:hAnsi="Times New Roman" w:eastAsiaTheme="minorEastAsia"/>
          <w:sz w:val="24"/>
          <w:szCs w:val="24"/>
        </w:rPr>
        <w:t>工作液，轻微震荡混匀，动作不可剧烈，</w:t>
      </w:r>
      <w:r>
        <w:rPr>
          <w:rFonts w:ascii="Times New Roman" w:hAnsi="Times New Roman" w:eastAsiaTheme="minorEastAsia"/>
          <w:sz w:val="24"/>
          <w:szCs w:val="24"/>
        </w:rPr>
        <w:t>37 ℃</w:t>
      </w:r>
      <w:r>
        <w:rPr>
          <w:rFonts w:hint="eastAsia" w:ascii="Times New Roman" w:hAnsi="Times New Roman" w:eastAsiaTheme="minorEastAsia"/>
          <w:sz w:val="24"/>
          <w:szCs w:val="24"/>
        </w:rPr>
        <w:t>放置</w:t>
      </w:r>
      <w:r>
        <w:rPr>
          <w:rFonts w:ascii="Times New Roman" w:hAnsi="Times New Roman" w:eastAsiaTheme="minorEastAsia"/>
          <w:sz w:val="24"/>
          <w:szCs w:val="24"/>
        </w:rPr>
        <w:t>30</w:t>
      </w:r>
      <w:r>
        <w:rPr>
          <w:rFonts w:hint="eastAsia" w:ascii="Times New Roman" w:hAnsi="Times New Roman" w:eastAsiaTheme="minorEastAsia"/>
          <w:sz w:val="24"/>
          <w:szCs w:val="24"/>
        </w:rPr>
        <w:t>分钟；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③测定</w:t>
      </w:r>
      <w:r>
        <w:rPr>
          <w:rFonts w:ascii="Times New Roman" w:hAnsi="Times New Roman" w:eastAsiaTheme="minorEastAsia"/>
          <w:sz w:val="24"/>
          <w:szCs w:val="24"/>
        </w:rPr>
        <w:t>562 nm</w:t>
      </w:r>
      <w:r>
        <w:rPr>
          <w:rFonts w:hint="eastAsia" w:ascii="Times New Roman" w:hAnsi="Times New Roman" w:eastAsiaTheme="minorEastAsia"/>
          <w:sz w:val="24"/>
          <w:szCs w:val="24"/>
        </w:rPr>
        <w:t>处的吸光值，并记录读数；以不含</w:t>
      </w:r>
      <w:r>
        <w:rPr>
          <w:rFonts w:ascii="Times New Roman" w:hAnsi="Times New Roman" w:eastAsiaTheme="minorEastAsia"/>
          <w:sz w:val="24"/>
          <w:szCs w:val="24"/>
        </w:rPr>
        <w:t>BSA</w:t>
      </w:r>
      <w:r>
        <w:rPr>
          <w:rFonts w:hint="eastAsia" w:ascii="Times New Roman" w:hAnsi="Times New Roman" w:eastAsiaTheme="minorEastAsia"/>
          <w:sz w:val="24"/>
          <w:szCs w:val="24"/>
        </w:rPr>
        <w:t>的样本的光吸收值作为空白对照；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④以</w:t>
      </w:r>
      <w:r>
        <w:rPr>
          <w:rFonts w:ascii="Times New Roman" w:hAnsi="Times New Roman" w:eastAsiaTheme="minorEastAsia"/>
          <w:sz w:val="24"/>
          <w:szCs w:val="24"/>
        </w:rPr>
        <w:t>BSA</w:t>
      </w:r>
      <w:r>
        <w:rPr>
          <w:rFonts w:hint="eastAsia" w:ascii="Times New Roman" w:hAnsi="Times New Roman" w:eastAsiaTheme="minorEastAsia"/>
          <w:sz w:val="24"/>
          <w:szCs w:val="24"/>
        </w:rPr>
        <w:t>含量为纵坐标，</w:t>
      </w:r>
      <w:r>
        <w:rPr>
          <w:rFonts w:ascii="Times New Roman" w:hAnsi="Times New Roman" w:eastAsiaTheme="minorEastAsia"/>
          <w:sz w:val="24"/>
          <w:szCs w:val="24"/>
        </w:rPr>
        <w:t>A562</w:t>
      </w:r>
      <w:r>
        <w:rPr>
          <w:rFonts w:hint="eastAsia" w:ascii="Times New Roman" w:hAnsi="Times New Roman" w:eastAsiaTheme="minorEastAsia"/>
          <w:sz w:val="24"/>
          <w:szCs w:val="24"/>
        </w:rPr>
        <w:t>为横坐标，绘制标准曲线，计算样品中的蛋白浓度；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⑤结果分析：见</w:t>
      </w:r>
      <w:r>
        <w:rPr>
          <w:rFonts w:ascii="Times New Roman" w:hAnsi="Times New Roman" w:eastAsiaTheme="minorEastAsia"/>
          <w:sz w:val="24"/>
          <w:szCs w:val="24"/>
        </w:rPr>
        <w:t>BCA</w:t>
      </w:r>
      <w:r>
        <w:rPr>
          <w:rFonts w:hint="eastAsia" w:ascii="Times New Roman" w:hAnsi="Times New Roman" w:eastAsiaTheme="minorEastAsia"/>
          <w:sz w:val="24"/>
          <w:szCs w:val="24"/>
        </w:rPr>
        <w:t>结果分析表格。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5" w:name="_Toc169613185"/>
      <w:r>
        <w:rPr>
          <w:rFonts w:hint="eastAsia" w:ascii="Times New Roman" w:hAnsi="Times New Roman" w:eastAsiaTheme="minorEastAsia"/>
          <w:sz w:val="28"/>
          <w:szCs w:val="28"/>
        </w:rPr>
        <w:t>ELISA试剂盒检测</w:t>
      </w:r>
      <w:bookmarkEnd w:id="35"/>
    </w:p>
    <w:p>
      <w:pPr>
        <w:pStyle w:val="50"/>
        <w:numPr>
          <w:ilvl w:val="0"/>
          <w:numId w:val="0"/>
        </w:numPr>
        <w:spacing w:after="120" w:afterLines="50" w:line="360" w:lineRule="auto"/>
        <w:ind w:left="636" w:leftChars="0" w:hanging="636" w:hangingChars="265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加样：</w:t>
      </w:r>
      <w:r>
        <w:rPr>
          <w:rFonts w:ascii="Times New Roman" w:hAnsi="Times New Roman" w:eastAsiaTheme="minorEastAsia"/>
          <w:kern w:val="1"/>
          <w:sz w:val="24"/>
          <w:szCs w:val="24"/>
        </w:rPr>
        <w:t>分别设置标准品孔、0值孔、空白孔和样本孔，标准品孔各加不同浓度的标准品50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μL，0值孔加样本稀释液50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μL，空白孔不加，样本孔加待测样本50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μL。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36" w:leftChars="0" w:hanging="636" w:hangingChars="265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加</w:t>
      </w:r>
      <w:r>
        <w:rPr>
          <w:rFonts w:hint="eastAsia" w:ascii="Times New Roman" w:hAnsi="Times New Roman" w:eastAsiaTheme="minorEastAsia"/>
          <w:sz w:val="24"/>
          <w:szCs w:val="24"/>
        </w:rPr>
        <w:t>检测抗体</w:t>
      </w:r>
      <w:r>
        <w:rPr>
          <w:rFonts w:ascii="Times New Roman" w:hAnsi="Times New Roman" w:eastAsiaTheme="minorEastAsia"/>
          <w:sz w:val="24"/>
          <w:szCs w:val="24"/>
        </w:rPr>
        <w:t>：</w:t>
      </w:r>
      <w:r>
        <w:rPr>
          <w:rFonts w:ascii="Times New Roman" w:hAnsi="Times New Roman" w:eastAsiaTheme="minorEastAsia"/>
          <w:kern w:val="1"/>
          <w:sz w:val="24"/>
          <w:szCs w:val="24"/>
        </w:rPr>
        <w:t>除空白孔外，标准品孔、0值孔和样本孔，加入辣根过氧化物酶（HRP）标记的检测抗体100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μL。</w:t>
      </w:r>
      <w:r>
        <w:rPr>
          <w:rFonts w:ascii="Times New Roman" w:hAnsi="Times New Roman" w:eastAsiaTheme="minorEastAsia"/>
          <w:sz w:val="24"/>
          <w:szCs w:val="24"/>
        </w:rPr>
        <w:t xml:space="preserve"> 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孵育：</w:t>
      </w:r>
      <w:r>
        <w:rPr>
          <w:rFonts w:ascii="Times New Roman" w:hAnsi="Times New Roman" w:eastAsiaTheme="minorEastAsia"/>
          <w:kern w:val="1"/>
          <w:sz w:val="24"/>
          <w:szCs w:val="24"/>
        </w:rPr>
        <w:t>用封板膜盖住反应板，37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℃水浴锅或恒温箱避光孵育60分钟。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配液：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将20倍浓缩洗涤液用蒸馏水20倍稀释后备用。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36" w:leftChars="0" w:hanging="636" w:hangingChars="265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洗涤：</w:t>
      </w:r>
      <w:r>
        <w:rPr>
          <w:rFonts w:ascii="Times New Roman" w:hAnsi="Times New Roman" w:eastAsiaTheme="minorEastAsia"/>
          <w:kern w:val="1"/>
          <w:sz w:val="24"/>
          <w:szCs w:val="24"/>
        </w:rPr>
        <w:t>小心揭掉封板膜，弃去液体，甩干，每孔加满洗涤液，静置20秒后弃去，如此重复5次， 拍干。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36" w:leftChars="0" w:hanging="636" w:hangingChars="265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显色：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将底物A和B按1:1体积充分混合，所有孔中加入底物混合液100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μL。用封板膜盖住反应板，37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℃水浴锅或恒温箱避光孵育15分钟。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7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终止：</w:t>
      </w:r>
      <w:r>
        <w:rPr>
          <w:rFonts w:ascii="Times New Roman" w:hAnsi="Times New Roman" w:eastAsiaTheme="minorEastAsia"/>
          <w:kern w:val="1"/>
          <w:sz w:val="24"/>
          <w:szCs w:val="24"/>
        </w:rPr>
        <w:t>每孔加终止液50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L</w:t>
      </w:r>
      <w:r>
        <w:rPr>
          <w:rFonts w:ascii="Times New Roman" w:hAnsi="Times New Roman" w:eastAsiaTheme="minorEastAsia"/>
          <w:kern w:val="1"/>
          <w:sz w:val="24"/>
          <w:szCs w:val="24"/>
        </w:rPr>
        <w:t>，终止反应（此时蓝色立转黄色）。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8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测定：</w:t>
      </w:r>
      <w:r>
        <w:rPr>
          <w:rFonts w:ascii="Times New Roman" w:hAnsi="Times New Roman" w:eastAsiaTheme="minorEastAsia"/>
          <w:kern w:val="1"/>
          <w:sz w:val="24"/>
          <w:szCs w:val="24"/>
        </w:rPr>
        <w:t>在450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nm 波长酶标仪上读取各孔的吸光度（OD 值）。</w:t>
      </w: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sz w:val="28"/>
          <w:szCs w:val="28"/>
        </w:rPr>
      </w:pPr>
      <w:bookmarkStart w:id="36" w:name="_Toc169613186"/>
      <w:r>
        <w:rPr>
          <w:rFonts w:hint="eastAsia" w:eastAsiaTheme="minorEastAsia"/>
          <w:sz w:val="28"/>
          <w:szCs w:val="28"/>
        </w:rPr>
        <w:t>数据分析</w:t>
      </w:r>
      <w:bookmarkEnd w:id="36"/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color w:val="040404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Times New Roman" w:hAnsi="Times New Roman" w:eastAsiaTheme="minorEastAsia"/>
          <w:color w:val="040404"/>
          <w:sz w:val="24"/>
          <w:szCs w:val="24"/>
          <w:shd w:val="clear" w:color="auto" w:fill="FFFFFF"/>
          <w:lang w:val="en-US" w:eastAsia="zh-CN"/>
        </w:rPr>
        <w:t>1</w:t>
      </w:r>
      <w:r>
        <w:rPr>
          <w:rFonts w:hint="eastAsia" w:ascii="Times New Roman" w:hAnsi="Times New Roman" w:eastAsiaTheme="minorEastAsia"/>
          <w:color w:val="040404"/>
          <w:sz w:val="24"/>
          <w:szCs w:val="24"/>
          <w:shd w:val="clear" w:color="auto" w:fill="FFFFFF"/>
          <w:lang w:eastAsia="zh-CN"/>
        </w:rPr>
        <w:t>）</w:t>
      </w:r>
      <w:r>
        <w:rPr>
          <w:rFonts w:ascii="Times New Roman" w:hAnsi="Times New Roman" w:eastAsiaTheme="minorEastAsia"/>
          <w:color w:val="040404"/>
          <w:sz w:val="24"/>
          <w:szCs w:val="24"/>
          <w:shd w:val="clear" w:color="auto" w:fill="FFFFFF"/>
        </w:rPr>
        <w:t>标准孔和样本孔的OD值减去空白孔的OD值作为绝对OD值</w:t>
      </w:r>
      <w:r>
        <w:rPr>
          <w:rFonts w:hint="eastAsia"/>
          <w:color w:val="040404"/>
          <w:sz w:val="24"/>
          <w:szCs w:val="24"/>
          <w:shd w:val="clear" w:color="auto" w:fill="FFFFFF"/>
        </w:rPr>
        <w:t>；</w:t>
      </w:r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以标准品的浓度为纵坐标，相应的绝对OD值为横坐标，拟合标准曲线；</w:t>
      </w:r>
    </w:p>
    <w:p>
      <w:pPr>
        <w:pStyle w:val="50"/>
        <w:numPr>
          <w:ilvl w:val="0"/>
          <w:numId w:val="0"/>
        </w:numPr>
        <w:spacing w:after="50" w:line="360" w:lineRule="auto"/>
        <w:ind w:left="600" w:leftChars="0" w:hanging="600" w:hangingChars="25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根据标准曲线，将样本绝对OD值代入，计算相应样本的浓度；计算原样本浓度时须乘以相应的稀释倍数；</w:t>
      </w:r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Style w:val="18"/>
          <w:rFonts w:ascii="Times New Roman" w:hAnsi="Times New Roman" w:eastAsiaTheme="minorEastAsia"/>
          <w:b w:val="0"/>
          <w:bCs w:val="0"/>
          <w:sz w:val="24"/>
          <w:szCs w:val="24"/>
        </w:rPr>
      </w:pP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/>
          <w:color w:val="040404"/>
          <w:sz w:val="24"/>
          <w:szCs w:val="24"/>
          <w:shd w:val="clear" w:color="auto" w:fill="FFFFFF"/>
          <w:lang w:val="en-US" w:eastAsia="zh-CN"/>
        </w:rPr>
        <w:t>4</w:t>
      </w: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）</w:t>
      </w:r>
      <w:r>
        <w:rPr>
          <w:rFonts w:hint="eastAsia"/>
          <w:color w:val="040404"/>
          <w:sz w:val="24"/>
          <w:szCs w:val="24"/>
          <w:shd w:val="clear" w:color="auto" w:fill="FFFFFF"/>
        </w:rPr>
        <w:t>计算组织匀浆液、细胞裂解液样本时，样本最终浓度=原样本浓度/匀浆液蛋白浓度</w:t>
      </w:r>
    </w:p>
    <w:p>
      <w:pPr>
        <w:spacing w:line="360" w:lineRule="auto"/>
        <w:rPr>
          <w:rStyle w:val="18"/>
          <w:rFonts w:ascii="Times New Roman" w:hAnsi="Times New Roman" w:eastAsiaTheme="minorEastAsia"/>
          <w:color w:val="FF0000"/>
          <w:sz w:val="24"/>
          <w:szCs w:val="24"/>
        </w:rPr>
      </w:pPr>
    </w:p>
    <w:p>
      <w:pPr>
        <w:spacing w:line="360" w:lineRule="auto"/>
        <w:rPr>
          <w:rStyle w:val="18"/>
          <w:rFonts w:ascii="Times New Roman" w:hAnsi="Times New Roman" w:eastAsiaTheme="minorEastAsia"/>
          <w:color w:val="FF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Theme="minorEastAsia"/>
          <w:sz w:val="24"/>
          <w:szCs w:val="24"/>
        </w:rPr>
      </w:pPr>
      <w:r>
        <w:rPr>
          <w:rStyle w:val="18"/>
          <w:rFonts w:ascii="Times New Roman" w:hAnsi="Times New Roman" w:eastAsiaTheme="minorEastAsia"/>
          <w:color w:val="FF0000"/>
          <w:sz w:val="24"/>
          <w:szCs w:val="24"/>
        </w:rPr>
        <w:t>详细实验结果见</w:t>
      </w:r>
      <w:r>
        <w:rPr>
          <w:rStyle w:val="18"/>
          <w:rFonts w:hint="eastAsia" w:ascii="Times New Roman" w:hAnsi="Times New Roman" w:eastAsiaTheme="minorEastAsia"/>
          <w:color w:val="FF0000"/>
          <w:sz w:val="24"/>
          <w:szCs w:val="24"/>
        </w:rPr>
        <w:t>表格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7456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5408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9504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8480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95A6E96"/>
    <w:multiLevelType w:val="multilevel"/>
    <w:tmpl w:val="695A6E9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2431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0E5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361F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5E11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1D4A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9643F"/>
    <w:rsid w:val="00FA04E9"/>
    <w:rsid w:val="00FA1E10"/>
    <w:rsid w:val="00FA2110"/>
    <w:rsid w:val="00FA3198"/>
    <w:rsid w:val="00FA3C63"/>
    <w:rsid w:val="00FA71B4"/>
    <w:rsid w:val="00FB124C"/>
    <w:rsid w:val="00FB15BF"/>
    <w:rsid w:val="00FB5593"/>
    <w:rsid w:val="00FB5E15"/>
    <w:rsid w:val="00FB71C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E23011"/>
    <w:rsid w:val="023870D5"/>
    <w:rsid w:val="027A77C1"/>
    <w:rsid w:val="028F491F"/>
    <w:rsid w:val="03D2448F"/>
    <w:rsid w:val="04497378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876E4C"/>
    <w:rsid w:val="0AB945A1"/>
    <w:rsid w:val="0B8C31F9"/>
    <w:rsid w:val="0BF202F5"/>
    <w:rsid w:val="0D1F336B"/>
    <w:rsid w:val="0E504C09"/>
    <w:rsid w:val="0E9D6BBB"/>
    <w:rsid w:val="0ECE0394"/>
    <w:rsid w:val="0EFA5E48"/>
    <w:rsid w:val="0F326BA0"/>
    <w:rsid w:val="0F841987"/>
    <w:rsid w:val="108F368D"/>
    <w:rsid w:val="10B95885"/>
    <w:rsid w:val="120C61ED"/>
    <w:rsid w:val="13136145"/>
    <w:rsid w:val="135F33F5"/>
    <w:rsid w:val="14027288"/>
    <w:rsid w:val="140C23A5"/>
    <w:rsid w:val="14D2562C"/>
    <w:rsid w:val="14FA59C9"/>
    <w:rsid w:val="15940C17"/>
    <w:rsid w:val="1649519F"/>
    <w:rsid w:val="16913178"/>
    <w:rsid w:val="16FF6615"/>
    <w:rsid w:val="17002DF8"/>
    <w:rsid w:val="172E4432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B4F2A"/>
    <w:rsid w:val="1CED02F1"/>
    <w:rsid w:val="1D2D43D9"/>
    <w:rsid w:val="1D781EA3"/>
    <w:rsid w:val="1E630C0C"/>
    <w:rsid w:val="1E8539B9"/>
    <w:rsid w:val="1E9B7A75"/>
    <w:rsid w:val="1FBE71E9"/>
    <w:rsid w:val="20282FFF"/>
    <w:rsid w:val="21A44BDE"/>
    <w:rsid w:val="21E65B6A"/>
    <w:rsid w:val="22317971"/>
    <w:rsid w:val="22A740A7"/>
    <w:rsid w:val="22E5658B"/>
    <w:rsid w:val="239E442A"/>
    <w:rsid w:val="242A6565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6B512A2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6A3B8F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300E30A0"/>
    <w:rsid w:val="306A53C9"/>
    <w:rsid w:val="30AA0DE7"/>
    <w:rsid w:val="311A06DB"/>
    <w:rsid w:val="31750EFD"/>
    <w:rsid w:val="31A524C4"/>
    <w:rsid w:val="32C835A9"/>
    <w:rsid w:val="332A5E8E"/>
    <w:rsid w:val="332E2F29"/>
    <w:rsid w:val="340A7DC1"/>
    <w:rsid w:val="34503692"/>
    <w:rsid w:val="367A7D64"/>
    <w:rsid w:val="37B72FAF"/>
    <w:rsid w:val="395F436A"/>
    <w:rsid w:val="39637B15"/>
    <w:rsid w:val="3A4D2A17"/>
    <w:rsid w:val="3B7F4860"/>
    <w:rsid w:val="3B7FEF2B"/>
    <w:rsid w:val="3BA879C6"/>
    <w:rsid w:val="3BB84F93"/>
    <w:rsid w:val="3C015C45"/>
    <w:rsid w:val="3DE53B38"/>
    <w:rsid w:val="3E23681F"/>
    <w:rsid w:val="3F6459BC"/>
    <w:rsid w:val="40257BBA"/>
    <w:rsid w:val="40B03CFF"/>
    <w:rsid w:val="41CA0DF1"/>
    <w:rsid w:val="41EA6017"/>
    <w:rsid w:val="42107BEE"/>
    <w:rsid w:val="421C381E"/>
    <w:rsid w:val="426C1B24"/>
    <w:rsid w:val="42A51C96"/>
    <w:rsid w:val="43FF39E1"/>
    <w:rsid w:val="444B012A"/>
    <w:rsid w:val="445D5F4C"/>
    <w:rsid w:val="4597370E"/>
    <w:rsid w:val="47804A75"/>
    <w:rsid w:val="479E4324"/>
    <w:rsid w:val="47D7CDC5"/>
    <w:rsid w:val="482C4A17"/>
    <w:rsid w:val="48D92DDC"/>
    <w:rsid w:val="49735CE2"/>
    <w:rsid w:val="49FFFB19"/>
    <w:rsid w:val="4B12476D"/>
    <w:rsid w:val="4B154B9B"/>
    <w:rsid w:val="4B1E0117"/>
    <w:rsid w:val="4B7655EE"/>
    <w:rsid w:val="4C0814C4"/>
    <w:rsid w:val="4C9F0FD7"/>
    <w:rsid w:val="4D7549E6"/>
    <w:rsid w:val="4DC909D0"/>
    <w:rsid w:val="4EF83B47"/>
    <w:rsid w:val="4F561F16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4AC42D6"/>
    <w:rsid w:val="54FB217D"/>
    <w:rsid w:val="551B6739"/>
    <w:rsid w:val="551E569C"/>
    <w:rsid w:val="554051FA"/>
    <w:rsid w:val="557F01C6"/>
    <w:rsid w:val="567C2762"/>
    <w:rsid w:val="56AC2486"/>
    <w:rsid w:val="57A5105B"/>
    <w:rsid w:val="58046889"/>
    <w:rsid w:val="586E37F0"/>
    <w:rsid w:val="587A136B"/>
    <w:rsid w:val="59D40607"/>
    <w:rsid w:val="5B740BC8"/>
    <w:rsid w:val="5B947BDB"/>
    <w:rsid w:val="5C2268F0"/>
    <w:rsid w:val="5D04101B"/>
    <w:rsid w:val="5D5E6C15"/>
    <w:rsid w:val="5D6C25E4"/>
    <w:rsid w:val="5DD60239"/>
    <w:rsid w:val="5EA96E87"/>
    <w:rsid w:val="5EF6747A"/>
    <w:rsid w:val="5F6F7686"/>
    <w:rsid w:val="5FBF45DE"/>
    <w:rsid w:val="60DD4922"/>
    <w:rsid w:val="628D2EDB"/>
    <w:rsid w:val="62C91468"/>
    <w:rsid w:val="62EF025F"/>
    <w:rsid w:val="62F537D8"/>
    <w:rsid w:val="6370733A"/>
    <w:rsid w:val="63BF1E11"/>
    <w:rsid w:val="64AC6391"/>
    <w:rsid w:val="65DC4ACB"/>
    <w:rsid w:val="66251F2C"/>
    <w:rsid w:val="66620DAC"/>
    <w:rsid w:val="66AB04AA"/>
    <w:rsid w:val="66BD32BC"/>
    <w:rsid w:val="66E5229D"/>
    <w:rsid w:val="67592E6B"/>
    <w:rsid w:val="67FC6E05"/>
    <w:rsid w:val="68C75D5B"/>
    <w:rsid w:val="69A022B3"/>
    <w:rsid w:val="69BB5AF7"/>
    <w:rsid w:val="69D3282D"/>
    <w:rsid w:val="69EA4D4A"/>
    <w:rsid w:val="6A237843"/>
    <w:rsid w:val="6A670E11"/>
    <w:rsid w:val="6AAF5D15"/>
    <w:rsid w:val="6B5478DD"/>
    <w:rsid w:val="6B6EFD75"/>
    <w:rsid w:val="6B902149"/>
    <w:rsid w:val="6BBC0310"/>
    <w:rsid w:val="6C16401E"/>
    <w:rsid w:val="6C40624E"/>
    <w:rsid w:val="6C876B11"/>
    <w:rsid w:val="6C9D4404"/>
    <w:rsid w:val="6CA25879"/>
    <w:rsid w:val="6D5B09CB"/>
    <w:rsid w:val="6DAE0693"/>
    <w:rsid w:val="6F56024D"/>
    <w:rsid w:val="6F954DC1"/>
    <w:rsid w:val="6FF5944C"/>
    <w:rsid w:val="704A6721"/>
    <w:rsid w:val="7057541D"/>
    <w:rsid w:val="707B1384"/>
    <w:rsid w:val="70AE6992"/>
    <w:rsid w:val="71037512"/>
    <w:rsid w:val="710D5957"/>
    <w:rsid w:val="712D08D1"/>
    <w:rsid w:val="71345513"/>
    <w:rsid w:val="71FE083E"/>
    <w:rsid w:val="72231CD3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A2AA9"/>
    <w:rsid w:val="74526350"/>
    <w:rsid w:val="74566E91"/>
    <w:rsid w:val="74774706"/>
    <w:rsid w:val="74C63A27"/>
    <w:rsid w:val="74D23626"/>
    <w:rsid w:val="75325667"/>
    <w:rsid w:val="75BB6EB0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FDDE37"/>
    <w:rsid w:val="7C4160FC"/>
    <w:rsid w:val="7C7F66A3"/>
    <w:rsid w:val="7CCA3477"/>
    <w:rsid w:val="7CEF73E6"/>
    <w:rsid w:val="7D1F067E"/>
    <w:rsid w:val="7D3F6BA5"/>
    <w:rsid w:val="7D5E14FB"/>
    <w:rsid w:val="7D920635"/>
    <w:rsid w:val="7E0B0D0A"/>
    <w:rsid w:val="7E747036"/>
    <w:rsid w:val="7EDEEC59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next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2862</Words>
  <Characters>3292</Characters>
  <Lines>31</Lines>
  <Paragraphs>8</Paragraphs>
  <TotalTime>0</TotalTime>
  <ScaleCrop>false</ScaleCrop>
  <LinksUpToDate>false</LinksUpToDate>
  <CharactersWithSpaces>3405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2024-07-10T09:21:52Z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64624A684CBC4BD2A86A11A6B9A17E51_13</vt:lpwstr>
  </property>
</Properties>
</file>