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 w:eastAsiaTheme="minorEastAsia"/>
          <w:b/>
          <w:bCs/>
          <w:sz w:val="96"/>
          <w:szCs w:val="96"/>
          <w:lang w:val="en-US" w:eastAsia="zh-CN"/>
        </w:rPr>
      </w:pPr>
      <w:bookmarkStart w:id="0" w:name="_Toc14035"/>
      <w:r>
        <w:rPr>
          <w:rFonts w:hint="default" w:ascii="Times New Roman" w:hAnsi="Times New Roman" w:cs="Times New Roman" w:eastAsia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3624580</wp:posOffset>
                </wp:positionV>
                <wp:extent cx="3851910" cy="71120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1910" cy="71120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noFill/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color w:val="FFFFFF" w:themeColor="background1"/>
                                <w:sz w:val="56"/>
                                <w:szCs w:val="56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检测结题报告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85pt;margin-top:285.4pt;height:56pt;width:303.3pt;z-index:251666432;mso-width-relative:page;mso-height-relative:page;" filled="f" stroked="f" coordsize="21600,21600" o:gfxdata="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/ClmTaAAAA&#10;CwEAAA8AAAAAAAAAAQAgAAAAIgAAAGRycy9kb3ducmV2LnhtbFBLAQIUABQAAAAIAIdO4kBwW3i4&#10;VAIAAJcEAAAOAAAAAAAAAAEAIAAAACkBAABkcnMvZTJvRG9jLnhtbFBLBQYAAAAABgAGAFkBAADv&#10;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color w:val="FFFFFF" w:themeColor="background1"/>
                          <w:sz w:val="56"/>
                          <w:szCs w:val="56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56"/>
                          <w:szCs w:val="5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检测结题报告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 w:eastAsia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-814705</wp:posOffset>
                </wp:positionH>
                <wp:positionV relativeFrom="paragraph">
                  <wp:posOffset>1211580</wp:posOffset>
                </wp:positionV>
                <wp:extent cx="7553960" cy="226695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960" cy="226695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noFill/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微软雅黑"/>
                                <w:b/>
                                <w:bCs/>
                                <w:color w:val="FFFFFF" w:themeColor="background1"/>
                                <w:sz w:val="112"/>
                                <w:szCs w:val="11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eastAsia="微软雅黑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缺氧模型</w:t>
                            </w:r>
                            <w:r>
                              <w:rPr>
                                <w:rFonts w:hint="eastAsia" w:ascii="Times New Roman" w:hAnsi="Times New Roman" w:eastAsia="微软雅黑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实验报告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4.15pt;margin-top:95.4pt;height:178.5pt;width:594.8pt;z-index:251665408;mso-width-relative:page;mso-height-relative:page;" filled="f" stroked="f" coordsize="21600,21600" o:gfxdata="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PCds590AAAANAQAADwAAAAAAAAABACAAAAAiAAAAZHJzL2Rvd25yZXYueG1sUEsBAhQAFAAAAAgA&#10;h07iQMhRRB9ZAgAAmAQAAA4AAAAAAAAAAQAgAAAALAEAAGRycy9lMm9Eb2MueG1sUEsFBgAAAAAG&#10;AAYAWQEAAP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eastAsia="微软雅黑"/>
                          <w:b/>
                          <w:bCs/>
                          <w:color w:val="FFFFFF" w:themeColor="background1"/>
                          <w:sz w:val="112"/>
                          <w:szCs w:val="11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eastAsia="微软雅黑"/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缺氧模型</w:t>
                      </w:r>
                      <w:r>
                        <w:rPr>
                          <w:rFonts w:hint="eastAsia" w:ascii="Times New Roman" w:hAnsi="Times New Roman" w:eastAsia="微软雅黑"/>
                          <w:b/>
                          <w:bCs/>
                          <w:color w:val="FFFFFF" w:themeColor="background1"/>
                          <w:sz w:val="96"/>
                          <w:szCs w:val="9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实验报告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 w:eastAsia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-826770</wp:posOffset>
                </wp:positionH>
                <wp:positionV relativeFrom="paragraph">
                  <wp:posOffset>6561455</wp:posOffset>
                </wp:positionV>
                <wp:extent cx="7556500" cy="284480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0" cy="284480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noFill/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5"/>
                              <w:tblW w:w="10086" w:type="dxa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124"/>
                              <w:gridCol w:w="2716"/>
                              <w:gridCol w:w="2689"/>
                              <w:gridCol w:w="2557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124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客户姓名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eastAsia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订单编号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eastAsia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92" w:hRule="atLeast"/>
                                <w:jc w:val="center"/>
                              </w:trPr>
                              <w:tc>
                                <w:tcPr>
                                  <w:tcW w:w="2124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项目启动日期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default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项目完成日期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default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37" w:hRule="atLeast"/>
                                <w:jc w:val="center"/>
                              </w:trPr>
                              <w:tc>
                                <w:tcPr>
                                  <w:tcW w:w="2124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报告撰写人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eastAsia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报告复核人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default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30" w:hRule="atLeast"/>
                                <w:jc w:val="center"/>
                              </w:trPr>
                              <w:tc>
                                <w:tcPr>
                                  <w:tcW w:w="2124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报告授权人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eastAsia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报告生效日期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5.1pt;margin-top:516.65pt;height:224pt;width:595pt;z-index:251667456;v-text-anchor:middle;mso-width-relative:page;mso-height-relative:page;" filled="f" stroked="f" coordsize="21600,21600" o:gfxdata="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GetPm&#10;3QAAAA8BAAAPAAAAAAAAAAEAIAAAACIAAABkcnMvZG93bnJldi54bWxQSwECFAAUAAAACACHTuJA&#10;+XcVLlUCAACaBAAADgAAAAAAAAABACAAAAAsAQAAZHJzL2Uyb0RvYy54bWxQSwUGAAAAAAYABgBZ&#10;AQAA8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15"/>
                        <w:tblW w:w="10086" w:type="dxa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124"/>
                        <w:gridCol w:w="2716"/>
                        <w:gridCol w:w="2689"/>
                        <w:gridCol w:w="2557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124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客户姓名</w:t>
                            </w:r>
                          </w:p>
                        </w:tc>
                        <w:tc>
                          <w:tcPr>
                            <w:tcW w:w="2716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eastAsia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订单编号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eastAsia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92" w:hRule="atLeast"/>
                          <w:jc w:val="center"/>
                        </w:trPr>
                        <w:tc>
                          <w:tcPr>
                            <w:tcW w:w="2124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项目启动日期</w:t>
                            </w:r>
                          </w:p>
                        </w:tc>
                        <w:tc>
                          <w:tcPr>
                            <w:tcW w:w="2716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default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项目完成日期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default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37" w:hRule="atLeast"/>
                          <w:jc w:val="center"/>
                        </w:trPr>
                        <w:tc>
                          <w:tcPr>
                            <w:tcW w:w="2124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报告撰写人</w:t>
                            </w:r>
                          </w:p>
                        </w:tc>
                        <w:tc>
                          <w:tcPr>
                            <w:tcW w:w="2716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eastAsia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报告复核人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default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30" w:hRule="atLeast"/>
                          <w:jc w:val="center"/>
                        </w:trPr>
                        <w:tc>
                          <w:tcPr>
                            <w:tcW w:w="2124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报告授权人</w:t>
                            </w:r>
                          </w:p>
                        </w:tc>
                        <w:tc>
                          <w:tcPr>
                            <w:tcW w:w="2716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eastAsia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报告生效日期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spacing w:after="120" w:afterLines="50" w:line="480" w:lineRule="exact"/>
                        <w:jc w:val="center"/>
                        <w:rPr>
                          <w:rFonts w:ascii="Times New Roman" w:hAnsi="Times New Roman" w:eastAsiaTheme="minorEastAsia"/>
                          <w:b/>
                          <w:bCs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 w:eastAsiaTheme="minorEastAsi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-818515</wp:posOffset>
            </wp:positionH>
            <wp:positionV relativeFrom="paragraph">
              <wp:posOffset>-1242060</wp:posOffset>
            </wp:positionV>
            <wp:extent cx="7582535" cy="10892790"/>
            <wp:effectExtent l="0" t="0" r="6985" b="3810"/>
            <wp:wrapNone/>
            <wp:docPr id="17" name="图片 17" descr="画板 1@2x-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画板 1@2x-8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82535" cy="1089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outlineLvl w:val="9"/>
        <w:rPr>
          <w:rFonts w:hint="default" w:ascii="Times New Roman" w:hAnsi="Times New Roman" w:cs="Times New Roman" w:eastAsiaTheme="minorEastAsia"/>
          <w:b/>
          <w:bCs/>
          <w:sz w:val="96"/>
          <w:szCs w:val="96"/>
          <w:lang w:val="en-US" w:eastAsia="zh-CN"/>
        </w:rPr>
      </w:pPr>
    </w:p>
    <w:bookmarkEnd w:id="0"/>
    <w:p>
      <w:pPr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outlineLvl w:val="9"/>
        <w:rPr>
          <w:rFonts w:hint="default" w:ascii="Times New Roman" w:hAnsi="Times New Roman" w:cs="Times New Roman" w:eastAsiaTheme="minorEastAsia"/>
          <w:b/>
          <w:bCs/>
          <w:sz w:val="52"/>
          <w:szCs w:val="52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-1604645</wp:posOffset>
            </wp:positionV>
            <wp:extent cx="2579370" cy="530225"/>
            <wp:effectExtent l="0" t="0" r="11430" b="3175"/>
            <wp:wrapTopAndBottom/>
            <wp:docPr id="18" name="图片 18" descr="资源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资源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7" w:beforeLines="100" w:line="360" w:lineRule="auto"/>
        <w:jc w:val="center"/>
        <w:textAlignment w:val="auto"/>
        <w:rPr>
          <w:rFonts w:hint="default" w:ascii="Times New Roman" w:hAnsi="Times New Roman" w:cs="Times New Roman" w:eastAsiaTheme="minorEastAsia"/>
        </w:rPr>
      </w:pPr>
      <w:bookmarkStart w:id="1" w:name="_Toc468962812"/>
      <w:bookmarkEnd w:id="1"/>
      <w:r>
        <w:rPr>
          <w:rFonts w:hint="default" w:ascii="Times New Roman" w:hAnsi="Times New Roman" w:cs="Times New Roman" w:eastAsiaTheme="minorEastAsia"/>
        </w:rPr>
        <w:br w:type="page"/>
      </w:r>
    </w:p>
    <w:p>
      <w:pPr>
        <w:pageBreakBefore w:val="0"/>
        <w:kinsoku/>
        <w:wordWrap/>
        <w:overflowPunct/>
        <w:topLinePunct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尊敬的客户：</w:t>
      </w:r>
    </w:p>
    <w:p>
      <w:pPr>
        <w:pageBreakBefore w:val="0"/>
        <w:kinsoku/>
        <w:wordWrap/>
        <w:overflowPunct/>
        <w:topLinePunct w:val="0"/>
        <w:bidi w:val="0"/>
        <w:spacing w:after="100" w:afterAutospacing="1" w:line="360" w:lineRule="auto"/>
        <w:ind w:firstLine="120" w:firstLineChars="5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您好！</w:t>
      </w:r>
    </w:p>
    <w:p>
      <w:pPr>
        <w:pageBreakBefore w:val="0"/>
        <w:kinsoku/>
        <w:wordWrap/>
        <w:overflowPunct/>
        <w:topLinePunct w:val="0"/>
        <w:bidi w:val="0"/>
        <w:spacing w:after="100" w:afterAutospacing="1" w:line="360" w:lineRule="auto"/>
        <w:ind w:firstLine="472" w:firstLineChars="196"/>
        <w:contextualSpacing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sz w:val="24"/>
          <w:szCs w:val="24"/>
        </w:rPr>
        <w:t>成都奥创生物科技有限公司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是联合多家高校、科研院所发起，由一批基础生物学、生物医药、临床医学领域杰出的科学家带队组成。主营业务包括整体课题项目服务实验（分子、蛋白、细胞、动物、病理等），全方位生物、医学研究技术服务和科研设计咨询、生物医药企业CRO外包服务等。</w:t>
      </w:r>
    </w:p>
    <w:p>
      <w:pPr>
        <w:pageBreakBefore w:val="0"/>
        <w:kinsoku/>
        <w:wordWrap/>
        <w:overflowPunct/>
        <w:topLinePunct w:val="0"/>
        <w:bidi w:val="0"/>
        <w:spacing w:after="100" w:afterAutospacing="1" w:line="360" w:lineRule="auto"/>
        <w:ind w:firstLine="472" w:firstLineChars="196"/>
        <w:contextualSpacing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sz w:val="24"/>
          <w:szCs w:val="24"/>
        </w:rPr>
        <w:t>成都奥创生物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联合多位来自于了中山大学、四川农业大学、华中农业大学、四川大学、中科院等著名高校以及研究机构的专家学者担任企业顾问，其中专业覆盖肿瘤学、蛋白免疫学、分子生物学、细胞生物学、形态学等诸多领域，并与国内相关领域的专家以项目合作的方式联合开展转化医学研究，组成了一个优势交叉互补、高度专业的科研团队，负责研发课题的具体实施和推进，确保各项目的高效与质量。致力于实验科研平台互联，资源共享。借助此平台为广大科研院校，生物医药企业及个人提供分子、蛋白、细胞、病理等研究技术服务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before="240" w:beforeLines="100" w:after="100" w:afterAutospacing="1" w:line="360" w:lineRule="auto"/>
        <w:ind w:left="363" w:hanging="363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整体项目平台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能为广大客户提供从课题咨询，课题设计，项目实施到论文撰写，润色，发表等一站    式整体课题外包服务，强大的科研团队，全面的技术平台和完善的管理体系，让您的课题进展更加高效。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核酸研究平台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服务项目：核酸抽提，常规PCR，荧光定量PCR，微滴式数字PCR，载体构建，甲基化检测等。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蛋白与免疫平台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服务项目：Western blot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IP/COIP检测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，无标记分子互作检测，ELISA，多因子蛋白悬液芯片检测，蛋白表达纯化，蛋白质谱等。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细胞研究平台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服务项目：细胞周期，细胞凋亡，细胞增殖，细胞共培养及趋化，细胞迁移及侵袭，细胞粘附检测，流式细胞检测，稳转细胞系构建，细胞单克隆形成检测，双荧光素酶检测，显微拍照检测等。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病毒包装平台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服务项目：慢病毒包装，逆转录病毒包装，腺病毒包装，腺相关病毒包装等。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病理染色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服务项目：各类切片及染色服务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电镜检测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，免疫荧光，免疫组化，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tunel，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原位杂交染色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全景扫描，分析阅片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等。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动物模型平台：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服务项目：常见疾病动物模型及肿瘤模型构建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肝功，肾功，血糖，血脂，无机离子，尿常规，凝血检测，血常规等生化检测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。</w:t>
      </w:r>
    </w:p>
    <w:p>
      <w:pPr>
        <w:pStyle w:val="49"/>
        <w:pageBreakBefore w:val="0"/>
        <w:kinsoku/>
        <w:wordWrap/>
        <w:overflowPunct/>
        <w:topLinePunct w:val="0"/>
        <w:bidi w:val="0"/>
        <w:spacing w:after="100" w:afterAutospacing="1" w:line="360" w:lineRule="auto"/>
        <w:ind w:left="420" w:firstLine="0" w:firstLineChars="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u w:val="single"/>
        </w:rPr>
        <w:t xml:space="preserve">我们的服务承诺：  </w:t>
      </w:r>
      <w:r>
        <w:rPr>
          <w:rFonts w:hint="default" w:ascii="Times New Roman" w:hAnsi="Times New Roman" w:cs="Times New Roman" w:eastAsiaTheme="minorEastAsia"/>
          <w:color w:val="E46C0A" w:themeColor="accent6" w:themeShade="BF"/>
          <w:sz w:val="24"/>
          <w:szCs w:val="24"/>
        </w:rPr>
        <w:t xml:space="preserve">█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唯一 </w:t>
      </w:r>
      <w:r>
        <w:rPr>
          <w:rFonts w:hint="default" w:ascii="Times New Roman" w:hAnsi="Times New Roman" w:cs="Times New Roman" w:eastAsiaTheme="minorEastAsia"/>
          <w:color w:val="E46C0A" w:themeColor="accent6" w:themeShade="BF"/>
          <w:sz w:val="24"/>
          <w:szCs w:val="24"/>
        </w:rPr>
        <w:t xml:space="preserve"> █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真实  </w:t>
      </w:r>
      <w:r>
        <w:rPr>
          <w:rFonts w:hint="default" w:ascii="Times New Roman" w:hAnsi="Times New Roman" w:cs="Times New Roman" w:eastAsiaTheme="minorEastAsia"/>
          <w:color w:val="E46C0A" w:themeColor="accent6" w:themeShade="BF"/>
          <w:sz w:val="24"/>
          <w:szCs w:val="24"/>
        </w:rPr>
        <w:t xml:space="preserve">█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专业  </w:t>
      </w:r>
      <w:r>
        <w:rPr>
          <w:rFonts w:hint="default" w:ascii="Times New Roman" w:hAnsi="Times New Roman" w:cs="Times New Roman" w:eastAsiaTheme="minorEastAsia"/>
          <w:color w:val="E46C0A" w:themeColor="accent6" w:themeShade="BF"/>
          <w:sz w:val="24"/>
          <w:szCs w:val="24"/>
        </w:rPr>
        <w:t xml:space="preserve">█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效率</w:t>
      </w:r>
    </w:p>
    <w:p>
      <w:pPr>
        <w:pageBreakBefore w:val="0"/>
        <w:kinsoku/>
        <w:wordWrap/>
        <w:overflowPunct/>
        <w:topLinePunct w:val="0"/>
        <w:bidi w:val="0"/>
        <w:spacing w:after="100" w:afterAutospacing="1" w:line="360" w:lineRule="auto"/>
        <w:ind w:firstLine="360" w:firstLineChars="15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欢迎科研院所、医院、生物医药企业的广大用户来我公司进行科研项目订制，我们将为您提供专业高效的一站式科研服务。</w:t>
      </w:r>
    </w:p>
    <w:p>
      <w:pPr>
        <w:pageBreakBefore w:val="0"/>
        <w:widowControl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br w:type="page"/>
      </w:r>
    </w:p>
    <w:p>
      <w:pPr>
        <w:pStyle w:val="3"/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jc w:val="center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bookmarkStart w:id="2" w:name="_Toc3116"/>
      <w:bookmarkStart w:id="3" w:name="_Toc9340"/>
      <w:r>
        <w:rPr>
          <w:rFonts w:hint="default" w:ascii="Times New Roman" w:hAnsi="Times New Roman" w:cs="Times New Roman" w:eastAsiaTheme="minorEastAsia"/>
          <w:sz w:val="28"/>
          <w:szCs w:val="28"/>
        </w:rPr>
        <w:t>声明</w:t>
      </w:r>
      <w:bookmarkEnd w:id="2"/>
      <w:bookmarkEnd w:id="3"/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textAlignment w:val="auto"/>
        <w:rPr>
          <w:rFonts w:hint="default" w:ascii="Times New Roman" w:hAnsi="Times New Roman" w:cs="Times New Roman" w:eastAsiaTheme="minorEastAsia"/>
        </w:rPr>
      </w:pP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为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保证独立、客观、公正地从事检验检测工作，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提高服务质量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。现以奥创生物名义，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向社会各界和客户作如下声明，并接受有关单位和客户的监督。</w:t>
      </w: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1、遵守国家的各项法律、法规、政策，严格执行有关标准，规范及细则等技术文件开展检测工作，以诚实、公正的态度确保检测工作质量，并对检测结果负责。</w:t>
      </w: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2、公司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具有固定的工作和检验检测场所，拥有与开展的检测工作相匹配的专业技术、管理人员，拥有相关检测所需的设备设施。</w:t>
      </w: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3、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承诺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对客户的技术、资料、数据和其他商业机密严格保密，切实维护客户的权益，绝不利用客户的技术和资料从事技术开发和技术服务。</w:t>
      </w: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4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、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承诺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对所有委托方一视同仁，提供相同的优质、高效服务，保证检测数据和结果的真实、客观、准确。</w:t>
      </w: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5、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承诺出具的检验检测数据、结果独立于所涉及的利益相关方，不受任何可能干扰其技术判断因素的影响，确保检验检测数据、结果的真实、客观、准确。</w:t>
      </w: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以上声明，本公司全体人员必须严格遵守。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jc w:val="right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成都奥创生物科技有限公司</w:t>
      </w:r>
    </w:p>
    <w:p>
      <w:pPr>
        <w:pageBreakBefore w:val="0"/>
        <w:widowControl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br w:type="page"/>
      </w:r>
    </w:p>
    <w:sdt>
      <w:sdtPr>
        <w:rPr>
          <w:rFonts w:hint="default" w:ascii="Times New Roman" w:hAnsi="Times New Roman" w:cs="Times New Roman" w:eastAsiaTheme="minorEastAsia"/>
          <w:color w:val="auto"/>
          <w:kern w:val="1"/>
          <w:sz w:val="21"/>
          <w:szCs w:val="22"/>
          <w:lang w:val="zh-CN"/>
        </w:rPr>
        <w:id w:val="-32881177"/>
        <w:docPartObj>
          <w:docPartGallery w:val="Table of Contents"/>
          <w:docPartUnique/>
        </w:docPartObj>
      </w:sdtPr>
      <w:sdtEndPr>
        <w:rPr>
          <w:rFonts w:hint="default" w:ascii="Times New Roman" w:hAnsi="Times New Roman" w:cs="Times New Roman" w:eastAsiaTheme="minorEastAsia"/>
          <w:b/>
          <w:bCs/>
          <w:color w:val="auto"/>
          <w:kern w:val="1"/>
          <w:sz w:val="21"/>
          <w:szCs w:val="22"/>
          <w:lang w:val="zh-CN"/>
        </w:rPr>
      </w:sdtEndPr>
      <w:sdtContent>
        <w:p>
          <w:pPr>
            <w:pStyle w:val="61"/>
            <w:pageBreakBefore w:val="0"/>
            <w:kinsoku/>
            <w:wordWrap/>
            <w:overflowPunct/>
            <w:topLinePunct w:val="0"/>
            <w:bidi w:val="0"/>
            <w:spacing w:line="360" w:lineRule="auto"/>
            <w:jc w:val="center"/>
            <w:textAlignment w:val="auto"/>
            <w:rPr>
              <w:rFonts w:hint="default" w:ascii="Times New Roman" w:hAnsi="Times New Roman" w:cs="Times New Roman" w:eastAsiaTheme="minorEastAsia"/>
              <w:b/>
              <w:bCs/>
              <w:color w:val="auto"/>
              <w:sz w:val="44"/>
              <w:szCs w:val="44"/>
            </w:rPr>
          </w:pPr>
          <w:r>
            <w:rPr>
              <w:rFonts w:hint="default" w:ascii="Times New Roman" w:hAnsi="Times New Roman" w:cs="Times New Roman" w:eastAsiaTheme="minorEastAsia"/>
              <w:b/>
              <w:bCs/>
              <w:color w:val="auto"/>
              <w:sz w:val="44"/>
              <w:szCs w:val="44"/>
              <w:lang w:val="zh-CN"/>
            </w:rPr>
            <w:t>目录</w:t>
          </w:r>
        </w:p>
        <w:p>
          <w:pPr>
            <w:pStyle w:val="11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instrText xml:space="preserve"> TOC \o "1-3" \h \z \u </w:instrTex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Cs w:val="24"/>
            </w:rPr>
            <w:instrText xml:space="preserve"> HYPERLINK \l _Toc9340 </w:instrText>
          </w:r>
          <w:r>
            <w:rPr>
              <w:rFonts w:hint="default" w:ascii="Times New Roman" w:hAnsi="Times New Roman" w:cs="Times New Roman" w:eastAsiaTheme="minorEastAsia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Cs w:val="28"/>
            </w:rPr>
            <w:t>声明</w:t>
          </w:r>
          <w:r>
            <w:tab/>
          </w:r>
          <w:r>
            <w:fldChar w:fldCharType="begin"/>
          </w:r>
          <w:r>
            <w:instrText xml:space="preserve"> PAGEREF _Toc9340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szCs w:val="24"/>
            </w:rPr>
            <w:fldChar w:fldCharType="end"/>
          </w:r>
        </w:p>
        <w:p>
          <w:pPr>
            <w:pStyle w:val="10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_Toc32257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Cs w:val="36"/>
              <w:lang w:val="en-US" w:eastAsia="zh-CN"/>
            </w:rPr>
            <w:t>一、</w:t>
          </w:r>
          <w:r>
            <w:rPr>
              <w:rFonts w:hint="default" w:ascii="Times New Roman" w:hAnsi="Times New Roman" w:cs="Times New Roman" w:eastAsiaTheme="minorEastAsia"/>
              <w:szCs w:val="36"/>
            </w:rPr>
            <w:t>实验仪器</w:t>
          </w:r>
          <w:r>
            <w:tab/>
          </w:r>
          <w:r>
            <w:fldChar w:fldCharType="begin"/>
          </w:r>
          <w:r>
            <w:instrText xml:space="preserve"> PAGEREF _Toc32257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_Toc867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eastAsia" w:ascii="Times New Roman" w:hAnsi="Times New Roman" w:cs="Times New Roman" w:eastAsiaTheme="minorEastAsia"/>
              <w:lang w:val="en-US" w:eastAsia="zh-CN"/>
            </w:rPr>
            <w:t xml:space="preserve">二、 </w:t>
          </w:r>
          <w:r>
            <w:rPr>
              <w:rFonts w:hint="default" w:ascii="Times New Roman" w:hAnsi="Times New Roman" w:cs="Times New Roman" w:eastAsiaTheme="minorEastAsia"/>
              <w:szCs w:val="36"/>
              <w:lang w:val="en-US" w:eastAsia="zh-CN"/>
            </w:rPr>
            <w:t>试剂与耗材</w:t>
          </w:r>
          <w:r>
            <w:tab/>
          </w:r>
          <w:r>
            <w:fldChar w:fldCharType="begin"/>
          </w:r>
          <w:r>
            <w:instrText xml:space="preserve"> PAGEREF _Toc867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_Toc9373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Cs w:val="36"/>
              <w:lang w:val="en-US" w:eastAsia="zh-CN"/>
            </w:rPr>
            <w:t>三、实验步骤</w:t>
          </w:r>
          <w:r>
            <w:tab/>
          </w:r>
          <w:r>
            <w:fldChar w:fldCharType="begin"/>
          </w:r>
          <w:r>
            <w:instrText xml:space="preserve"> PAGEREF _Toc9373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_Toc14142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lang w:val="en-US" w:eastAsia="zh-CN"/>
            </w:rPr>
            <w:t>1、细胞悬液制备</w:t>
          </w:r>
          <w:r>
            <w:tab/>
          </w:r>
          <w:r>
            <w:fldChar w:fldCharType="begin"/>
          </w:r>
          <w:r>
            <w:instrText xml:space="preserve"> PAGEREF _Toc14142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_Toc15643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lang w:val="en-US" w:eastAsia="zh-CN"/>
            </w:rPr>
            <w:t>2、细胞铺板</w:t>
          </w:r>
          <w:r>
            <w:tab/>
          </w:r>
          <w:r>
            <w:fldChar w:fldCharType="begin"/>
          </w:r>
          <w:r>
            <w:instrText xml:space="preserve"> PAGEREF _Toc15643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_Toc20535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lang w:val="en-US" w:eastAsia="zh-CN"/>
            </w:rPr>
            <w:t>3、 药物稀释</w:t>
          </w:r>
          <w:r>
            <w:tab/>
          </w:r>
          <w:r>
            <w:fldChar w:fldCharType="begin"/>
          </w:r>
          <w:r>
            <w:instrText xml:space="preserve"> PAGEREF _Toc20535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_Toc20215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lang w:val="en-US" w:eastAsia="zh-CN"/>
            </w:rPr>
            <w:t>4、缺氧前给药</w:t>
          </w:r>
          <w:r>
            <w:tab/>
          </w:r>
          <w:r>
            <w:fldChar w:fldCharType="begin"/>
          </w:r>
          <w:r>
            <w:instrText xml:space="preserve"> PAGEREF _Toc20215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_Toc30699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lang w:val="en-US" w:eastAsia="zh-CN"/>
            </w:rPr>
            <w:t>5、缺氧造模</w:t>
          </w:r>
          <w:r>
            <w:tab/>
          </w:r>
          <w:r>
            <w:fldChar w:fldCharType="begin"/>
          </w:r>
          <w:r>
            <w:instrText xml:space="preserve"> PAGEREF _Toc30699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_Toc25897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lang w:val="en-US" w:eastAsia="zh-CN"/>
            </w:rPr>
            <w:t>6、 缺氧后给药</w:t>
          </w:r>
          <w:r>
            <w:tab/>
          </w:r>
          <w:r>
            <w:fldChar w:fldCharType="begin"/>
          </w:r>
          <w:r>
            <w:instrText xml:space="preserve"> PAGEREF _Toc25897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_Toc7699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lang w:val="en-US" w:eastAsia="zh-CN"/>
            </w:rPr>
            <w:t>7、 结果分析</w:t>
          </w:r>
          <w:r>
            <w:tab/>
          </w:r>
          <w:r>
            <w:fldChar w:fldCharType="begin"/>
          </w:r>
          <w:r>
            <w:instrText xml:space="preserve"> PAGEREF _Toc7699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_Toc1690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eastAsia" w:cs="Times New Roman" w:eastAsiaTheme="minorEastAsia"/>
              <w:szCs w:val="36"/>
              <w:lang w:val="en-US" w:eastAsia="zh-CN"/>
            </w:rPr>
            <w:t>四</w:t>
          </w:r>
          <w:r>
            <w:rPr>
              <w:rFonts w:hint="default" w:ascii="Times New Roman" w:hAnsi="Times New Roman" w:cs="Times New Roman" w:eastAsiaTheme="minorEastAsia"/>
              <w:szCs w:val="36"/>
              <w:lang w:val="en-US" w:eastAsia="zh-CN"/>
            </w:rPr>
            <w:t>、</w:t>
          </w:r>
          <w:r>
            <w:rPr>
              <w:rFonts w:hint="eastAsia" w:cs="Times New Roman" w:eastAsiaTheme="minorEastAsia"/>
              <w:szCs w:val="36"/>
              <w:lang w:val="en-US" w:eastAsia="zh-CN"/>
            </w:rPr>
            <w:t>结果展示</w:t>
          </w:r>
          <w:r>
            <w:tab/>
          </w:r>
          <w:r>
            <w:fldChar w:fldCharType="begin"/>
          </w:r>
          <w:r>
            <w:instrText xml:space="preserve"> PAGEREF _Toc1690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ageBreakBefore w:val="0"/>
            <w:kinsoku/>
            <w:wordWrap/>
            <w:overflowPunct/>
            <w:topLinePunct w:val="0"/>
            <w:bidi w:val="0"/>
            <w:spacing w:line="360" w:lineRule="auto"/>
            <w:textAlignment w:val="auto"/>
            <w:rPr>
              <w:rFonts w:hint="default" w:ascii="Times New Roman" w:hAnsi="Times New Roman" w:cs="Times New Roman" w:eastAsiaTheme="minorEastAsia"/>
              <w:b/>
              <w:bCs/>
              <w:sz w:val="24"/>
              <w:szCs w:val="24"/>
              <w:lang w:val="zh-CN"/>
            </w:rPr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</w:sdtContent>
    </w:sdt>
    <w:p>
      <w:pPr>
        <w:pageBreakBefore w:val="0"/>
        <w:widowControl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default" w:ascii="Times New Roman" w:hAnsi="Times New Roman" w:cs="Times New Roman" w:eastAsiaTheme="minorEastAsia"/>
          <w:b/>
        </w:rPr>
        <w:sectPr>
          <w:headerReference r:id="rId5" w:type="first"/>
          <w:footerReference r:id="rId7" w:type="first"/>
          <w:headerReference r:id="rId3" w:type="default"/>
          <w:footerReference r:id="rId6" w:type="default"/>
          <w:headerReference r:id="rId4" w:type="even"/>
          <w:endnotePr>
            <w:numFmt w:val="decimal"/>
          </w:endnotePr>
          <w:pgSz w:w="11906" w:h="16838"/>
          <w:pgMar w:top="1440" w:right="1293" w:bottom="1440" w:left="1293" w:header="907" w:footer="907" w:gutter="0"/>
          <w:pgNumType w:fmt="decimal"/>
          <w:cols w:space="0" w:num="1"/>
          <w:rtlGutter w:val="0"/>
          <w:docGrid w:linePitch="286" w:charSpace="0"/>
        </w:sectPr>
      </w:pPr>
      <w:bookmarkStart w:id="29" w:name="_GoBack"/>
      <w:bookmarkEnd w:id="29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60" w:after="0" w:line="360" w:lineRule="auto"/>
        <w:textAlignment w:val="auto"/>
        <w:rPr>
          <w:rFonts w:hint="default" w:ascii="Times New Roman" w:hAnsi="Times New Roman" w:cs="Times New Roman" w:eastAsiaTheme="minorEastAsia"/>
          <w:sz w:val="36"/>
          <w:szCs w:val="36"/>
        </w:rPr>
      </w:pPr>
      <w:bookmarkStart w:id="4" w:name="_Toc25695"/>
      <w:bookmarkStart w:id="5" w:name="_Toc27944"/>
      <w:bookmarkStart w:id="6" w:name="_Toc32257"/>
      <w:r>
        <w:rPr>
          <w:rFonts w:hint="default" w:ascii="Times New Roman" w:hAnsi="Times New Roman" w:cs="Times New Roman" w:eastAsiaTheme="minorEastAsia"/>
          <w:sz w:val="36"/>
          <w:szCs w:val="36"/>
          <w:lang w:val="en-US" w:eastAsia="zh-CN"/>
        </w:rPr>
        <w:t>一、</w:t>
      </w:r>
      <w:r>
        <w:rPr>
          <w:rFonts w:hint="default" w:ascii="Times New Roman" w:hAnsi="Times New Roman" w:cs="Times New Roman" w:eastAsiaTheme="minorEastAsia"/>
          <w:sz w:val="36"/>
          <w:szCs w:val="36"/>
        </w:rPr>
        <w:t>实验仪器</w:t>
      </w:r>
      <w:bookmarkEnd w:id="4"/>
      <w:bookmarkEnd w:id="5"/>
      <w:bookmarkEnd w:id="6"/>
    </w:p>
    <w:tbl>
      <w:tblPr>
        <w:tblStyle w:val="14"/>
        <w:tblW w:w="9619" w:type="dxa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3"/>
        <w:gridCol w:w="3744"/>
        <w:gridCol w:w="2712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16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</w:rPr>
              <w:t>实验仪器</w:t>
            </w:r>
          </w:p>
        </w:tc>
        <w:tc>
          <w:tcPr>
            <w:tcW w:w="374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</w:rPr>
              <w:t>品牌</w:t>
            </w:r>
          </w:p>
        </w:tc>
        <w:tc>
          <w:tcPr>
            <w:tcW w:w="271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</w:rPr>
              <w:t>货号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3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二氧化碳培养箱</w:t>
            </w:r>
          </w:p>
        </w:tc>
        <w:tc>
          <w:tcPr>
            <w:tcW w:w="3744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LABGIC</w:t>
            </w:r>
          </w:p>
        </w:tc>
        <w:tc>
          <w:tcPr>
            <w:tcW w:w="2712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COI-80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3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超净工作台</w:t>
            </w:r>
          </w:p>
        </w:tc>
        <w:tc>
          <w:tcPr>
            <w:tcW w:w="3744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博科</w:t>
            </w:r>
          </w:p>
        </w:tc>
        <w:tc>
          <w:tcPr>
            <w:tcW w:w="2712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BBS-DDC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3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低速离心机</w:t>
            </w:r>
          </w:p>
        </w:tc>
        <w:tc>
          <w:tcPr>
            <w:tcW w:w="3744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SCILOGEX</w:t>
            </w:r>
          </w:p>
        </w:tc>
        <w:tc>
          <w:tcPr>
            <w:tcW w:w="2712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SCI406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3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感应式数控涡旋混匀仪</w:t>
            </w:r>
          </w:p>
        </w:tc>
        <w:tc>
          <w:tcPr>
            <w:tcW w:w="3744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LABGIC</w:t>
            </w:r>
          </w:p>
        </w:tc>
        <w:tc>
          <w:tcPr>
            <w:tcW w:w="2712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L-VM-B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3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大容量电动移液器</w:t>
            </w:r>
          </w:p>
        </w:tc>
        <w:tc>
          <w:tcPr>
            <w:tcW w:w="3744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SCILOGEX</w:t>
            </w:r>
          </w:p>
        </w:tc>
        <w:tc>
          <w:tcPr>
            <w:tcW w:w="2712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SCI-Fill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3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酶标仪</w:t>
            </w:r>
          </w:p>
        </w:tc>
        <w:tc>
          <w:tcPr>
            <w:tcW w:w="3744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detielab</w:t>
            </w:r>
          </w:p>
        </w:tc>
        <w:tc>
          <w:tcPr>
            <w:tcW w:w="2712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HBS-1096A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0" w:type="auto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bookmarkStart w:id="7" w:name="_Toc475364643"/>
            <w:bookmarkEnd w:id="7"/>
            <w:bookmarkStart w:id="8" w:name="_Toc457909480"/>
            <w:bookmarkEnd w:id="8"/>
            <w:bookmarkStart w:id="9" w:name="_Toc457908950"/>
            <w:bookmarkEnd w:id="9"/>
            <w:bookmarkStart w:id="10" w:name="_Toc28846"/>
            <w:bookmarkStart w:id="11" w:name="_Toc9766"/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手动移液枪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Thermo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4640060</w:t>
            </w:r>
          </w:p>
        </w:tc>
      </w:tr>
    </w:tbl>
    <w:p>
      <w:pPr>
        <w:pStyle w:val="2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260" w:after="0" w:line="360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bookmarkStart w:id="12" w:name="_Toc867"/>
      <w:r>
        <w:rPr>
          <w:rFonts w:hint="default" w:ascii="Times New Roman" w:hAnsi="Times New Roman" w:cs="Times New Roman" w:eastAsiaTheme="minorEastAsia"/>
          <w:sz w:val="36"/>
          <w:szCs w:val="36"/>
          <w:lang w:val="en-US" w:eastAsia="zh-CN"/>
        </w:rPr>
        <w:t>试剂与耗材</w:t>
      </w:r>
      <w:bookmarkEnd w:id="10"/>
      <w:bookmarkEnd w:id="11"/>
      <w:bookmarkEnd w:id="12"/>
      <w:bookmarkStart w:id="13" w:name="_Toc457909481"/>
      <w:bookmarkEnd w:id="13"/>
      <w:bookmarkStart w:id="14" w:name="_Toc457908951"/>
      <w:bookmarkEnd w:id="14"/>
      <w:bookmarkStart w:id="15" w:name="_Toc2940"/>
      <w:bookmarkStart w:id="16" w:name="_Toc9399"/>
    </w:p>
    <w:tbl>
      <w:tblPr>
        <w:tblStyle w:val="14"/>
        <w:tblW w:w="5077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4"/>
        <w:gridCol w:w="3048"/>
        <w:gridCol w:w="274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0" w:type="pct"/>
            <w:tcBorders>
              <w:bottom w:val="single" w:color="auto" w:sz="4" w:space="0"/>
            </w:tcBorders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</w:rPr>
            </w:pPr>
            <w:bookmarkStart w:id="17" w:name="_Hlk140112928"/>
            <w:r>
              <w:rPr>
                <w:rFonts w:hint="default" w:ascii="Times New Roman" w:hAnsi="Times New Roman" w:cs="Times New Roman" w:eastAsiaTheme="minorEastAsia"/>
                <w:b/>
                <w:bCs w:val="0"/>
              </w:rPr>
              <w:t>试剂名称</w:t>
            </w:r>
          </w:p>
        </w:tc>
        <w:tc>
          <w:tcPr>
            <w:tcW w:w="1573" w:type="pct"/>
            <w:tcBorders>
              <w:bottom w:val="single" w:color="auto" w:sz="4" w:space="0"/>
            </w:tcBorders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</w:rPr>
              <w:t>品牌</w:t>
            </w:r>
          </w:p>
        </w:tc>
        <w:tc>
          <w:tcPr>
            <w:tcW w:w="1415" w:type="pct"/>
            <w:tcBorders>
              <w:bottom w:val="single" w:color="auto" w:sz="4" w:space="0"/>
            </w:tcBorders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</w:rPr>
              <w:t>货号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10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细胞培养基</w:t>
            </w:r>
          </w:p>
        </w:tc>
        <w:tc>
          <w:tcPr>
            <w:tcW w:w="1573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Biosharp</w:t>
            </w:r>
          </w:p>
        </w:tc>
        <w:tc>
          <w:tcPr>
            <w:tcW w:w="1415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BL304A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0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rtl w:val="0"/>
                <w:lang w:val="zh-TW" w:eastAsia="zh-TW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胎牛血清（FBS）</w:t>
            </w:r>
          </w:p>
        </w:tc>
        <w:tc>
          <w:tcPr>
            <w:tcW w:w="1573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rtl w:val="0"/>
                <w:lang w:val="zh-TW" w:eastAsia="zh-TW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四季青</w:t>
            </w:r>
          </w:p>
        </w:tc>
        <w:tc>
          <w:tcPr>
            <w:tcW w:w="1415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rtl w:val="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11011-8611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0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胰蛋白酶（Trypsin）</w:t>
            </w:r>
          </w:p>
        </w:tc>
        <w:tc>
          <w:tcPr>
            <w:tcW w:w="1573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Biosharp</w:t>
            </w:r>
          </w:p>
        </w:tc>
        <w:tc>
          <w:tcPr>
            <w:tcW w:w="1415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BL526A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0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双抗（P/S）</w:t>
            </w:r>
          </w:p>
        </w:tc>
        <w:tc>
          <w:tcPr>
            <w:tcW w:w="1573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Biosharp</w:t>
            </w:r>
          </w:p>
        </w:tc>
        <w:tc>
          <w:tcPr>
            <w:tcW w:w="1415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BL505A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0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磷酸盐缓冲液（PBS）</w:t>
            </w:r>
          </w:p>
        </w:tc>
        <w:tc>
          <w:tcPr>
            <w:tcW w:w="1573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servicebio</w:t>
            </w:r>
          </w:p>
        </w:tc>
        <w:tc>
          <w:tcPr>
            <w:tcW w:w="1415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G0002</w:t>
            </w:r>
          </w:p>
        </w:tc>
      </w:tr>
      <w:bookmarkEnd w:id="17"/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0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氧气指示剂</w:t>
            </w:r>
          </w:p>
        </w:tc>
        <w:tc>
          <w:tcPr>
            <w:tcW w:w="1573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三菱瓦斯</w:t>
            </w:r>
          </w:p>
        </w:tc>
        <w:tc>
          <w:tcPr>
            <w:tcW w:w="1415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C-22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0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2.5L厌氧产气袋</w:t>
            </w:r>
          </w:p>
        </w:tc>
        <w:tc>
          <w:tcPr>
            <w:tcW w:w="1573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三菱瓦斯</w:t>
            </w:r>
          </w:p>
        </w:tc>
        <w:tc>
          <w:tcPr>
            <w:tcW w:w="1415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C-01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0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台盼蓝染色液(0.4%)</w:t>
            </w:r>
          </w:p>
        </w:tc>
        <w:tc>
          <w:tcPr>
            <w:tcW w:w="1573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Biosharp</w:t>
            </w:r>
          </w:p>
        </w:tc>
        <w:tc>
          <w:tcPr>
            <w:tcW w:w="1415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BL627A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0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血球计数板</w:t>
            </w:r>
          </w:p>
        </w:tc>
        <w:tc>
          <w:tcPr>
            <w:tcW w:w="1573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Marienfeld</w:t>
            </w:r>
          </w:p>
        </w:tc>
        <w:tc>
          <w:tcPr>
            <w:tcW w:w="1415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650010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0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细胞培养瓶</w:t>
            </w:r>
          </w:p>
        </w:tc>
        <w:tc>
          <w:tcPr>
            <w:tcW w:w="1573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LABSELECT</w:t>
            </w:r>
          </w:p>
        </w:tc>
        <w:tc>
          <w:tcPr>
            <w:tcW w:w="1415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13112A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0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移液器吸头</w:t>
            </w:r>
          </w:p>
        </w:tc>
        <w:tc>
          <w:tcPr>
            <w:tcW w:w="1573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Biosharp</w:t>
            </w:r>
          </w:p>
        </w:tc>
        <w:tc>
          <w:tcPr>
            <w:tcW w:w="1415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BS-RT-1250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010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离心管</w:t>
            </w:r>
          </w:p>
        </w:tc>
        <w:tc>
          <w:tcPr>
            <w:tcW w:w="1573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Biosharp</w:t>
            </w:r>
          </w:p>
        </w:tc>
        <w:tc>
          <w:tcPr>
            <w:tcW w:w="1415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BS-15-M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010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6孔细胞培养板</w:t>
            </w:r>
          </w:p>
        </w:tc>
        <w:tc>
          <w:tcPr>
            <w:tcW w:w="1573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LABSELECT</w:t>
            </w:r>
          </w:p>
        </w:tc>
        <w:tc>
          <w:tcPr>
            <w:tcW w:w="1415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11110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60" w:after="0" w:line="360" w:lineRule="auto"/>
        <w:textAlignment w:val="auto"/>
        <w:rPr>
          <w:rFonts w:hint="default" w:ascii="Times New Roman" w:hAnsi="Times New Roman" w:cs="Times New Roman" w:eastAsiaTheme="minorEastAsia"/>
          <w:sz w:val="36"/>
          <w:szCs w:val="36"/>
          <w:lang w:val="en-US" w:eastAsia="zh-CN"/>
        </w:rPr>
      </w:pPr>
      <w:bookmarkStart w:id="18" w:name="_Toc9373"/>
      <w:r>
        <w:rPr>
          <w:rFonts w:hint="default" w:ascii="Times New Roman" w:hAnsi="Times New Roman" w:cs="Times New Roman" w:eastAsiaTheme="minorEastAsia"/>
          <w:sz w:val="36"/>
          <w:szCs w:val="36"/>
          <w:lang w:val="en-US" w:eastAsia="zh-CN"/>
        </w:rPr>
        <w:t>三、实验步骤</w:t>
      </w:r>
      <w:bookmarkEnd w:id="15"/>
      <w:bookmarkEnd w:id="16"/>
      <w:bookmarkEnd w:id="18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bookmarkStart w:id="19" w:name="_Toc14142"/>
      <w:bookmarkStart w:id="20" w:name="_Toc30267"/>
      <w:bookmarkStart w:id="21" w:name="_Toc8937"/>
      <w:r>
        <w:rPr>
          <w:rFonts w:hint="default" w:ascii="Times New Roman" w:hAnsi="Times New Roman" w:cs="Times New Roman" w:eastAsiaTheme="minorEastAsia"/>
          <w:lang w:val="en-US" w:eastAsia="zh-CN"/>
        </w:rPr>
        <w:t>1、细胞悬液制备</w:t>
      </w:r>
      <w:bookmarkEnd w:id="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选择处于对数生长期且细胞融合率约80%的细胞，在超净工作台中吸弃培养基，加入PBS清洗细胞碎片与残留培养基，吸弃PBS，根据不同类型的细胞传代方式，将细胞制备成单细胞悬液，1000rpm离心5min，吸弃上清液，加入完全培养基重悬并吸打混匀，计算实验所需的细胞量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bookmarkStart w:id="22" w:name="_Toc15643"/>
      <w:r>
        <w:rPr>
          <w:rFonts w:hint="default" w:ascii="Times New Roman" w:hAnsi="Times New Roman" w:cs="Times New Roman" w:eastAsiaTheme="minorEastAsia"/>
          <w:lang w:val="en-US" w:eastAsia="zh-CN"/>
        </w:rPr>
        <w:t>2、细胞铺板</w:t>
      </w:r>
      <w:bookmarkEnd w:id="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根据细胞特性按照细胞传代的步骤消化成单细胞悬液并计数，按照5-10*10</w:t>
      </w:r>
      <w:r>
        <w:rPr>
          <w:rFonts w:hint="default" w:ascii="Times New Roman" w:hAnsi="Times New Roman" w:cs="Times New Roman" w:eastAsiaTheme="minorEastAsia"/>
          <w:sz w:val="24"/>
          <w:szCs w:val="24"/>
          <w:vertAlign w:val="superscript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个细胞/孔接6孔培养板，于37℃、5%CO2的细胞培养箱中培养4h，至细胞贴壁，对于不容易贴壁的细胞可以过夜培养。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bookmarkStart w:id="23" w:name="_Toc20535"/>
      <w:r>
        <w:rPr>
          <w:rFonts w:hint="default" w:ascii="Times New Roman" w:hAnsi="Times New Roman" w:cs="Times New Roman" w:eastAsiaTheme="minorEastAsia"/>
          <w:lang w:val="en-US" w:eastAsia="zh-CN"/>
        </w:rPr>
        <w:t>药物稀释</w:t>
      </w:r>
      <w:bookmarkEnd w:id="2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87" w:beforeLines="100" w:after="144" w:afterLines="50"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按照课题设计要求，将药物配制好相应母液，使用无血清培养基，将药物等比梯度稀释，稀释后的药物涡旋混匀，于超净工作台中使用0.22μm滤器过滤。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bookmarkStart w:id="24" w:name="_Toc20215"/>
      <w:r>
        <w:rPr>
          <w:rFonts w:hint="default" w:ascii="Times New Roman" w:hAnsi="Times New Roman" w:cs="Times New Roman" w:eastAsiaTheme="minorEastAsia"/>
          <w:lang w:val="en-US" w:eastAsia="zh-CN"/>
        </w:rPr>
        <w:t>4、缺氧前给药</w:t>
      </w:r>
      <w:bookmarkEnd w:id="2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根据课题要求，若客户无需在缺氧前添加干预药物则跳过此步骤；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用无血清培养基配置各浓度含药培养基，将孔板内的培养基换成对应的含药培养基，孔板上标记每孔的药物浓度，按照课题设计培养一定时候之后进行后续操作。</w:t>
      </w:r>
    </w:p>
    <w:bookmarkEnd w:id="20"/>
    <w:bookmarkEnd w:id="21"/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bookmarkStart w:id="25" w:name="_Toc30699"/>
      <w:r>
        <w:rPr>
          <w:rFonts w:hint="default" w:ascii="Times New Roman" w:hAnsi="Times New Roman" w:cs="Times New Roman" w:eastAsiaTheme="minorEastAsia"/>
          <w:lang w:val="en-US" w:eastAsia="zh-CN"/>
        </w:rPr>
        <w:t>5、缺氧造模</w:t>
      </w:r>
      <w:bookmarkEnd w:id="2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将需要缺氧细胞，放置在厌氧产气袋中密封作为缺氧组，其余细胞作为正常组，两组细胞继续放置37℃，5%CO2条件培养（根据客户造模时间安排）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缺氧时间结束后，取出厌氧培养袋中的细胞，继续放置37℃。5%CO2条件培养24h根据客户造模时间安排）</w:t>
      </w:r>
      <w:r>
        <w:rPr>
          <w:rFonts w:hint="default" w:ascii="Times New Roman" w:hAnsi="Times New Roman" w:cs="Times New Roman" w:eastAsiaTheme="minorEastAsia"/>
          <w:lang w:val="en-US" w:eastAsia="zh-CN"/>
        </w:rPr>
        <w:t>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bookmarkStart w:id="26" w:name="_Toc25897"/>
      <w:r>
        <w:rPr>
          <w:rFonts w:hint="default" w:ascii="Times New Roman" w:hAnsi="Times New Roman" w:cs="Times New Roman" w:eastAsiaTheme="minorEastAsia"/>
          <w:lang w:val="en-US" w:eastAsia="zh-CN"/>
        </w:rPr>
        <w:t>缺氧后给药</w:t>
      </w:r>
      <w:bookmarkEnd w:id="2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根据课题要求，若客户无需在缺氧后添加药物则跳过此步骤；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用无血清培养基配置各浓度含药培养基，将孔板内的培养基换成对应的含药培养基，孔板上标记每孔的药物浓度，按照课题设计培养一定时候之后进行后续操作。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bookmarkStart w:id="27" w:name="_Toc7699"/>
      <w:r>
        <w:rPr>
          <w:rFonts w:hint="default" w:ascii="Times New Roman" w:hAnsi="Times New Roman" w:cs="Times New Roman" w:eastAsiaTheme="minorEastAsia"/>
          <w:lang w:val="en-US" w:eastAsia="zh-CN"/>
        </w:rPr>
        <w:t>结果分析</w:t>
      </w:r>
      <w:bookmarkEnd w:id="2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缺氧后的检测方式多种多样，通常根据研究的课题和目标来选择。以下是一些常用的检测方式，并详细举例说明如何在缺氧实验后展开检测：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1、细胞活性检测：CCK-8检测评估细胞活力。缺氧处理后，将细胞培养CCK-8的培养基中。存活细胞会将这些试剂还原，形成可被检测的产物，最终通过酶标仪定量。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2、细胞凋亡/坏死检测：缺氧造模后，使用流式细胞仪定量细胞凋亡和坏死的比例。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3、细胞功能检测：评估缺氧处理对细胞迁移和侵袭能力的影响。缺氧后，通过划痕实验或Transwell侵袭实验检测细胞的迁移和侵袭能力。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4、基因和蛋白表达分析：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•qPCR：定量检测缺氧相关基因的表达，例如HIF-1α、VEGF等。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•WesternBlot：通过蛋白免疫印迹法检测HIF-1α、VEGF等缺氧相关蛋白的表达水平。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•ELISA：检测细胞培养上清液中分泌蛋白水平，评估缺氧对细胞分泌功能的影响。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5、活性氧（ROS）检测：流式ROS检测细胞内活性氧的生成情况。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60" w:after="0" w:line="360" w:lineRule="auto"/>
        <w:textAlignment w:val="auto"/>
        <w:rPr>
          <w:rFonts w:hint="default" w:ascii="Times New Roman" w:hAnsi="Times New Roman" w:cs="Times New Roman" w:eastAsiaTheme="minorEastAsia"/>
          <w:sz w:val="36"/>
          <w:szCs w:val="36"/>
          <w:lang w:val="en-US" w:eastAsia="zh-CN"/>
        </w:rPr>
      </w:pPr>
      <w:bookmarkStart w:id="28" w:name="_Toc1690"/>
      <w:r>
        <w:rPr>
          <w:rFonts w:hint="eastAsia" w:cs="Times New Roman" w:eastAsiaTheme="minorEastAsia"/>
          <w:sz w:val="36"/>
          <w:szCs w:val="36"/>
          <w:lang w:val="en-US" w:eastAsia="zh-CN"/>
        </w:rPr>
        <w:t>四</w:t>
      </w:r>
      <w:r>
        <w:rPr>
          <w:rFonts w:hint="default" w:ascii="Times New Roman" w:hAnsi="Times New Roman" w:cs="Times New Roman" w:eastAsiaTheme="minorEastAsia"/>
          <w:sz w:val="36"/>
          <w:szCs w:val="36"/>
          <w:lang w:val="en-US" w:eastAsia="zh-CN"/>
        </w:rPr>
        <w:t>、</w:t>
      </w:r>
      <w:r>
        <w:rPr>
          <w:rFonts w:hint="eastAsia" w:cs="Times New Roman" w:eastAsiaTheme="minorEastAsia"/>
          <w:sz w:val="36"/>
          <w:szCs w:val="36"/>
          <w:lang w:val="en-US" w:eastAsia="zh-CN"/>
        </w:rPr>
        <w:t>结果展示</w:t>
      </w:r>
      <w:bookmarkEnd w:id="28"/>
    </w:p>
    <w:sectPr>
      <w:endnotePr>
        <w:numFmt w:val="decimal"/>
      </w:endnotePr>
      <w:pgSz w:w="11906" w:h="16838"/>
      <w:pgMar w:top="1440" w:right="1293" w:bottom="1440" w:left="1293" w:header="907" w:footer="907" w:gutter="0"/>
      <w:pgNumType w:fmt="decimal"/>
      <w:cols w:space="0" w:num="1"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720" w:firstLineChars="400"/>
      <w:jc w:val="both"/>
      <w:rPr>
        <w:rFonts w:hint="eastAsia" w:ascii="微软雅黑" w:hAnsi="微软雅黑" w:eastAsia="微软雅黑" w:cs="微软雅黑"/>
        <w:b/>
        <w:sz w:val="18"/>
        <w:szCs w:val="18"/>
      </w:rPr>
    </w:pPr>
    <w:r>
      <w:rPr>
        <w:rFonts w:hint="eastAsia" w:ascii="微软雅黑" w:hAnsi="微软雅黑" w:eastAsia="微软雅黑" w:cs="微软雅黑"/>
        <w:b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-379095</wp:posOffset>
              </wp:positionH>
              <wp:positionV relativeFrom="paragraph">
                <wp:posOffset>-635</wp:posOffset>
              </wp:positionV>
              <wp:extent cx="6638925" cy="28575"/>
              <wp:effectExtent l="0" t="7620" r="9525" b="20955"/>
              <wp:wrapSquare wrapText="bothSides"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2857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29.85pt;margin-top:-0.05pt;height:2.25pt;width:522.75pt;mso-wrap-distance-bottom:0pt;mso-wrap-distance-left:9pt;mso-wrap-distance-right:9pt;mso-wrap-distance-top:0pt;z-index:251663360;mso-width-relative:page;mso-height-relative:page;" filled="f" stroked="t" coordsize="21600,21600" o:gfxdata="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ZbZqk1wAAAAcBAAAPAAAAAAAAAAEAIAAAACIAAABkcnMvZG93bnJldi54bWxQ&#10;SwECFAAUAAAACACHTuJAqRYgNfgBAADpAwAADgAAAAAAAAABACAAAAAmAQAAZHJzL2Uyb0RvYy54&#10;bWxQSwUGAAAAAAYABgBZAQAAkAUAAAAA&#10;">
              <v:fill on="f" focussize="0,0"/>
              <v:stroke weight="1.25pt" color="#000000" joinstyle="round"/>
              <v:imagedata o:title=""/>
              <o:lock v:ext="edit" aspectratio="f"/>
              <w10:wrap type="square"/>
            </v:line>
          </w:pict>
        </mc:Fallback>
      </mc:AlternateContent>
    </w:r>
    <w:r>
      <w:rPr>
        <w:rFonts w:hint="eastAsia" w:ascii="微软雅黑" w:hAnsi="微软雅黑" w:eastAsia="微软雅黑" w:cs="微软雅黑"/>
        <w:b/>
        <w:sz w:val="18"/>
        <w:szCs w:val="18"/>
      </w:rPr>
      <w:t>地址：</w:t>
    </w:r>
    <w:r>
      <w:rPr>
        <w:rFonts w:hint="eastAsia" w:ascii="微软雅黑" w:hAnsi="微软雅黑" w:eastAsia="微软雅黑" w:cs="微软雅黑"/>
        <w:b/>
        <w:sz w:val="18"/>
        <w:szCs w:val="18"/>
        <w:lang w:val="en-US" w:eastAsia="zh-CN"/>
      </w:rPr>
      <w:t>四川省</w:t>
    </w:r>
    <w:r>
      <w:rPr>
        <w:rFonts w:hint="eastAsia" w:ascii="微软雅黑" w:hAnsi="微软雅黑" w:eastAsia="微软雅黑" w:cs="微软雅黑"/>
        <w:b/>
        <w:sz w:val="18"/>
        <w:szCs w:val="18"/>
      </w:rPr>
      <w:t>成都</w:t>
    </w:r>
    <w:r>
      <w:rPr>
        <w:rFonts w:hint="eastAsia" w:ascii="微软雅黑" w:hAnsi="微软雅黑" w:eastAsia="微软雅黑" w:cs="微软雅黑"/>
        <w:b/>
        <w:sz w:val="18"/>
        <w:szCs w:val="18"/>
        <w:lang w:val="en-US" w:eastAsia="zh-CN"/>
      </w:rPr>
      <w:t>市</w:t>
    </w:r>
    <w:r>
      <w:rPr>
        <w:rFonts w:hint="eastAsia" w:ascii="微软雅黑" w:hAnsi="微软雅黑" w:eastAsia="微软雅黑" w:cs="微软雅黑"/>
        <w:b/>
        <w:sz w:val="18"/>
        <w:szCs w:val="18"/>
      </w:rPr>
      <w:t>高新</w:t>
    </w:r>
    <w:r>
      <w:rPr>
        <w:rFonts w:hint="eastAsia" w:ascii="微软雅黑" w:hAnsi="微软雅黑" w:eastAsia="微软雅黑" w:cs="微软雅黑"/>
        <w:b/>
        <w:sz w:val="18"/>
        <w:szCs w:val="18"/>
        <w:lang w:val="en-US" w:eastAsia="zh-CN"/>
      </w:rPr>
      <w:t>区生物医药产业</w:t>
    </w:r>
    <w:r>
      <w:rPr>
        <w:rFonts w:hint="eastAsia" w:ascii="微软雅黑" w:hAnsi="微软雅黑" w:eastAsia="微软雅黑" w:cs="微软雅黑"/>
        <w:b/>
        <w:sz w:val="18"/>
        <w:szCs w:val="18"/>
      </w:rPr>
      <w:t>孵化园1号楼A座2-15（孵化园地铁站B口）</w:t>
    </w:r>
  </w:p>
  <w:p>
    <w:pPr>
      <w:pStyle w:val="8"/>
      <w:jc w:val="center"/>
      <w:rPr>
        <w:rFonts w:hint="default"/>
        <w:lang w:val="en-US"/>
      </w:rPr>
    </w:pPr>
    <w:r>
      <w:rPr>
        <w:rFonts w:hint="eastAsia" w:ascii="微软雅黑" w:hAnsi="微软雅黑" w:eastAsia="微软雅黑" w:cs="微软雅黑"/>
        <w:b/>
        <w:sz w:val="18"/>
        <w:szCs w:val="18"/>
      </w:rPr>
      <w:t>电话：177-2982-5736</w:t>
    </w:r>
    <w:r>
      <w:rPr>
        <w:rFonts w:hint="eastAsia" w:ascii="微软雅黑" w:hAnsi="微软雅黑" w:eastAsia="微软雅黑" w:cs="微软雅黑"/>
        <w:b/>
        <w:sz w:val="18"/>
        <w:szCs w:val="18"/>
        <w:lang w:val="en-US" w:eastAsia="zh-CN"/>
      </w:rPr>
      <w:t xml:space="preserve">               座机：028-</w:t>
    </w:r>
    <w:r>
      <w:rPr>
        <w:rFonts w:hint="eastAsia" w:ascii="微软雅黑" w:hAnsi="微软雅黑" w:eastAsia="微软雅黑" w:cs="微软雅黑"/>
        <w:b/>
        <w:sz w:val="18"/>
        <w:szCs w:val="18"/>
      </w:rPr>
      <w:t xml:space="preserve"> </w:t>
    </w:r>
    <w:r>
      <w:rPr>
        <w:rFonts w:hint="eastAsia" w:ascii="微软雅黑" w:hAnsi="微软雅黑" w:eastAsia="微软雅黑" w:cs="微软雅黑"/>
        <w:b/>
        <w:sz w:val="18"/>
        <w:szCs w:val="18"/>
        <w:lang w:val="en-US" w:eastAsia="zh-CN"/>
      </w:rPr>
      <w:t>65735060               公司网址： http://www.cdacsw.cn/</w: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864235" cy="474980"/>
              <wp:effectExtent l="0" t="0" r="12065" b="1270"/>
              <wp:wrapNone/>
              <wp:docPr id="4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691630" y="10144760"/>
                        <a:ext cx="864235" cy="4749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2" o:spid="_x0000_s1026" o:spt="1" style="position:absolute;left:0pt;height:37.4pt;width:68.05pt;mso-position-horizontal:right;mso-position-horizontal-relative:page;mso-position-vertical:bottom;mso-position-vertical-relative:page;z-index:251661312;v-text-anchor:middle;mso-width-relative:page;mso-height-relative:page;" fillcolor="#7F7F7F [1612]" filled="t" stroked="f" coordsize="21600,21600" o:gfxdata="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yv3P7TAAAABAEAAA8AAAAAAAAAAQAgAAAA&#10;IgAAAGRycy9kb3ducmV2LnhtbFBLAQIUABQAAAAIAIdO4kAVYO0oggIAAO0EAAAOAAAAAAAAAAEA&#10;IAAAACIBAABkcnMvZTJvRG9jLnhtbFBLBQYAAAAABgAGAFkBAAAWBgAAAAA=&#10;">
              <v:fill on="t" focussize="0,0"/>
              <v:stroke on="f" weight="2pt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\* MERGEFORMAT </w:instrText>
                    </w: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</w:t>
                    </w: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945" cy="193675"/>
              <wp:effectExtent l="0" t="0" r="1905" b="15875"/>
              <wp:wrapNone/>
              <wp:docPr id="6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-5080" y="10496550"/>
                        <a:ext cx="7560945" cy="193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o:spt="1" style="position:absolute;left:0pt;height:15.25pt;width:595.35pt;mso-position-horizontal:center;mso-position-horizontal-relative:page;mso-position-vertical:bottom;mso-position-vertical-relative:page;z-index:251660288;v-text-anchor:middle;mso-width-relative:page;mso-height-relative:page;mso-width-percent:1000;" fillcolor="#7F7F7F [1612]" filled="t" stroked="f" coordsize="21600,21600" o:gfxdata="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JXzX7UAAAABQEAAA8AAAAAAAAAAQAgAAAAIgAAAGRy&#10;cy9kb3ducmV2LnhtbFBLAQIUABQAAAAIAIdO4kCnlIk+ewIAAOEEAAAOAAAAAAAAAAEAIAAAACMB&#10;AABkcnMvZTJvRG9jLnhtbFBLBQYAAAAABgAGAFkBAAAQBgAAAAA=&#10;">
              <v:fill on="t" focussize="0,0"/>
              <v:stroke on="f" weight="2pt"/>
              <v:imagedata o:title=""/>
              <o:lock v:ext="edit" aspectratio="f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jc w:val="both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4425315</wp:posOffset>
              </wp:positionH>
              <wp:positionV relativeFrom="paragraph">
                <wp:posOffset>63500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b w:val="0"/>
                              <w:bCs w:val="0"/>
                              <w:color w:val="E46C0A" w:themeColor="accent6" w:themeShade="BF"/>
                              <w:sz w:val="52"/>
                              <w:szCs w:val="52"/>
                              <w:lang w:val="en-US" w:eastAsia="zh-CN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  <w14:reflection w14:blurRad="6350" w14:stA="50000" w14:stPos="0" w14:endA="300" w14:endPos="50000" w14:dist="60007" w14:dir="5400000" w14:fadeDir="5400000" w14:sx="100000" w14:sy="-100000" w14:kx="0" w14:algn="bl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 w:val="0"/>
                              <w:bCs w:val="0"/>
                              <w:color w:val="E46C0A" w:themeColor="accent6" w:themeShade="BF"/>
                              <w:sz w:val="24"/>
                              <w:szCs w:val="24"/>
                              <w:lang w:val="en-US" w:eastAsia="zh-CN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  <w14:reflection w14:blurRad="6350" w14:stA="50000" w14:stPos="0" w14:endA="300" w14:endPos="50000" w14:dist="60007" w14:dir="5400000" w14:fadeDir="5400000" w14:sx="100000" w14:sy="-100000" w14:kx="0" w14:algn="bl"/>
                            </w:rPr>
                            <w:t>求实为真 卓越非凡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45pt;margin-top:5pt;height:144pt;width:144pt;mso-wrap-style:none;z-index:251662336;mso-width-relative:page;mso-height-relative:page;" filled="f" stroked="f" coordsize="21600,21600" o:gfxdata="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loDSLYAAAACgEAAA8AAAAAAAAAAQAgAAAAIgAAAGRycy9kb3ducmV2&#10;LnhtbFBLAQIUABQAAAAIAIdO4kADuURhNQIAAGU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rPr>
                        <w:rFonts w:hint="default" w:eastAsia="宋体"/>
                        <w:b w:val="0"/>
                        <w:bCs w:val="0"/>
                        <w:color w:val="E46C0A" w:themeColor="accent6" w:themeShade="BF"/>
                        <w:sz w:val="52"/>
                        <w:szCs w:val="52"/>
                        <w:lang w:val="en-US" w:eastAsia="zh-CN"/>
                        <w14:shadow w14:blurRad="50800" w14:dist="38100" w14:dir="13500000" w14:sx="100000" w14:sy="100000" w14:kx="0" w14:ky="0" w14:algn="br">
                          <w14:srgbClr w14:val="000000">
                            <w14:alpha w14:val="60000"/>
                          </w14:srgbClr>
                        </w14:shadow>
                        <w14:reflection w14:blurRad="6350" w14:stA="50000" w14:stPos="0" w14:endA="300" w14:endPos="50000" w14:dist="60007" w14:dir="5400000" w14:fadeDir="5400000" w14:sx="100000" w14:sy="-100000" w14:kx="0" w14:algn="bl"/>
                      </w:rPr>
                    </w:pPr>
                    <w:r>
                      <w:rPr>
                        <w:rFonts w:hint="eastAsia" w:ascii="黑体" w:hAnsi="黑体" w:eastAsia="黑体" w:cs="黑体"/>
                        <w:b w:val="0"/>
                        <w:bCs w:val="0"/>
                        <w:color w:val="E46C0A" w:themeColor="accent6" w:themeShade="BF"/>
                        <w:sz w:val="24"/>
                        <w:szCs w:val="24"/>
                        <w:lang w:val="en-US" w:eastAsia="zh-CN"/>
                        <w14:shadow w14:blurRad="50800" w14:dist="38100" w14:dir="13500000" w14:sx="100000" w14:sy="100000" w14:kx="0" w14:ky="0" w14:algn="br">
                          <w14:srgbClr w14:val="000000">
                            <w14:alpha w14:val="60000"/>
                          </w14:srgbClr>
                        </w14:shadow>
                        <w14:reflection w14:blurRad="6350" w14:stA="50000" w14:stPos="0" w14:endA="300" w14:endPos="50000" w14:dist="60007" w14:dir="5400000" w14:fadeDir="5400000" w14:sx="100000" w14:sy="-100000" w14:kx="0" w14:algn="bl"/>
                      </w:rPr>
                      <w:t>求实为真 卓越非凡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drawing>
        <wp:inline distT="0" distB="0" distL="114300" distR="114300">
          <wp:extent cx="1532890" cy="474980"/>
          <wp:effectExtent l="0" t="0" r="0" b="0"/>
          <wp:docPr id="7" name="图片 7" descr="公司条状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公司条状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2890" cy="474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jc w:val="both"/>
      <w:rPr>
        <w:rFonts w:hint="default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right w:val="none" w:color="auto" w:sz="0" w:space="0"/>
        <w:between w:val="none" w:color="auto" w:sz="0" w:space="0"/>
      </w:pBdr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814320" cy="1114425"/>
          <wp:effectExtent l="0" t="0" r="5080" b="8890"/>
          <wp:wrapNone/>
          <wp:docPr id="5" name="WordPictureWatermark3594860" descr="Siweg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3594860" descr="Siwega2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4320" cy="11144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jc w:val="both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514475" cy="439420"/>
          <wp:effectExtent l="0" t="0" r="0" b="0"/>
          <wp:docPr id="1" name="图片 1" descr="公司条状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条状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6EA402"/>
    <w:multiLevelType w:val="singleLevel"/>
    <w:tmpl w:val="EB6EA40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12596A"/>
    <w:multiLevelType w:val="singleLevel"/>
    <w:tmpl w:val="0C12596A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1B373630"/>
    <w:multiLevelType w:val="multilevel"/>
    <w:tmpl w:val="1B373630"/>
    <w:lvl w:ilvl="0" w:tentative="0">
      <w:start w:val="1"/>
      <w:numFmt w:val="decimal"/>
      <w:pStyle w:val="31"/>
      <w:lvlText w:val="%1."/>
      <w:lvlJc w:val="left"/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420"/>
      </w:pPr>
      <w:rPr>
        <w:rFonts w:cs="Times New Roman"/>
      </w:rPr>
    </w:lvl>
    <w:lvl w:ilvl="2" w:tentative="0">
      <w:start w:val="1"/>
      <w:numFmt w:val="lowerRoman"/>
      <w:lvlText w:val="%3."/>
      <w:lvlJc w:val="left"/>
      <w:pPr>
        <w:ind w:left="84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26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1680"/>
      </w:pPr>
      <w:rPr>
        <w:rFonts w:cs="Times New Roman"/>
      </w:rPr>
    </w:lvl>
    <w:lvl w:ilvl="5" w:tentative="0">
      <w:start w:val="1"/>
      <w:numFmt w:val="lowerRoman"/>
      <w:lvlText w:val="%6."/>
      <w:lvlJc w:val="left"/>
      <w:pPr>
        <w:ind w:left="210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5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2940"/>
      </w:pPr>
      <w:rPr>
        <w:rFonts w:cs="Times New Roman"/>
      </w:rPr>
    </w:lvl>
    <w:lvl w:ilvl="8" w:tentative="0">
      <w:start w:val="1"/>
      <w:numFmt w:val="lowerRoman"/>
      <w:lvlText w:val="%9."/>
      <w:lvlJc w:val="left"/>
      <w:pPr>
        <w:ind w:left="3360"/>
      </w:pPr>
      <w:rPr>
        <w:rFonts w:cs="Times New Roman"/>
      </w:rPr>
    </w:lvl>
  </w:abstractNum>
  <w:abstractNum w:abstractNumId="3">
    <w:nsid w:val="4A881A91"/>
    <w:multiLevelType w:val="multilevel"/>
    <w:tmpl w:val="4A881A91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CB67894"/>
    <w:multiLevelType w:val="singleLevel"/>
    <w:tmpl w:val="5CB67894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endnotePr>
    <w:numFmt w:val="decimal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FF08C7"/>
    <w:rsid w:val="00015402"/>
    <w:rsid w:val="000154A7"/>
    <w:rsid w:val="00020771"/>
    <w:rsid w:val="00022BE1"/>
    <w:rsid w:val="00027E30"/>
    <w:rsid w:val="000346AA"/>
    <w:rsid w:val="00042CFA"/>
    <w:rsid w:val="00044722"/>
    <w:rsid w:val="00044BBA"/>
    <w:rsid w:val="00044E03"/>
    <w:rsid w:val="00046AE8"/>
    <w:rsid w:val="00046F2A"/>
    <w:rsid w:val="0005499D"/>
    <w:rsid w:val="000549BC"/>
    <w:rsid w:val="0005736D"/>
    <w:rsid w:val="00057B1B"/>
    <w:rsid w:val="00065FD1"/>
    <w:rsid w:val="0007214D"/>
    <w:rsid w:val="000724DB"/>
    <w:rsid w:val="0008097C"/>
    <w:rsid w:val="00080C88"/>
    <w:rsid w:val="000826F5"/>
    <w:rsid w:val="00084417"/>
    <w:rsid w:val="00087642"/>
    <w:rsid w:val="00097A4C"/>
    <w:rsid w:val="00097B8C"/>
    <w:rsid w:val="000A3485"/>
    <w:rsid w:val="000A3772"/>
    <w:rsid w:val="000B1188"/>
    <w:rsid w:val="000B6017"/>
    <w:rsid w:val="000B7194"/>
    <w:rsid w:val="000B71BB"/>
    <w:rsid w:val="000B7DF9"/>
    <w:rsid w:val="000D5A7E"/>
    <w:rsid w:val="000D7AF8"/>
    <w:rsid w:val="000F34D9"/>
    <w:rsid w:val="000F391A"/>
    <w:rsid w:val="00102641"/>
    <w:rsid w:val="001056C6"/>
    <w:rsid w:val="00112E6D"/>
    <w:rsid w:val="001165B6"/>
    <w:rsid w:val="00122FA3"/>
    <w:rsid w:val="00125B52"/>
    <w:rsid w:val="001271B8"/>
    <w:rsid w:val="0012727F"/>
    <w:rsid w:val="001302BA"/>
    <w:rsid w:val="0013390F"/>
    <w:rsid w:val="00144B23"/>
    <w:rsid w:val="00144D31"/>
    <w:rsid w:val="0015163D"/>
    <w:rsid w:val="0015461B"/>
    <w:rsid w:val="00162B66"/>
    <w:rsid w:val="00170354"/>
    <w:rsid w:val="00170D8A"/>
    <w:rsid w:val="00175414"/>
    <w:rsid w:val="00181374"/>
    <w:rsid w:val="00181F8B"/>
    <w:rsid w:val="0018536F"/>
    <w:rsid w:val="00185DF8"/>
    <w:rsid w:val="001923F7"/>
    <w:rsid w:val="0019344D"/>
    <w:rsid w:val="001962FA"/>
    <w:rsid w:val="001A1E8B"/>
    <w:rsid w:val="001A4359"/>
    <w:rsid w:val="001A52FC"/>
    <w:rsid w:val="001A60B1"/>
    <w:rsid w:val="001A7708"/>
    <w:rsid w:val="001B593D"/>
    <w:rsid w:val="001B5FCF"/>
    <w:rsid w:val="001B6D3E"/>
    <w:rsid w:val="001B75CC"/>
    <w:rsid w:val="001C2936"/>
    <w:rsid w:val="001D015E"/>
    <w:rsid w:val="001D0CAB"/>
    <w:rsid w:val="001D0EDC"/>
    <w:rsid w:val="001D4E2E"/>
    <w:rsid w:val="001D7E69"/>
    <w:rsid w:val="001E0BD3"/>
    <w:rsid w:val="001E37D9"/>
    <w:rsid w:val="001E6C82"/>
    <w:rsid w:val="001F0320"/>
    <w:rsid w:val="001F3428"/>
    <w:rsid w:val="001F35E4"/>
    <w:rsid w:val="00207399"/>
    <w:rsid w:val="00210D39"/>
    <w:rsid w:val="00210EAB"/>
    <w:rsid w:val="002141D3"/>
    <w:rsid w:val="00214DE5"/>
    <w:rsid w:val="00246312"/>
    <w:rsid w:val="002463A8"/>
    <w:rsid w:val="002510A6"/>
    <w:rsid w:val="0025250C"/>
    <w:rsid w:val="00264457"/>
    <w:rsid w:val="00276A02"/>
    <w:rsid w:val="00277A42"/>
    <w:rsid w:val="00280022"/>
    <w:rsid w:val="00280B6D"/>
    <w:rsid w:val="00282332"/>
    <w:rsid w:val="00283109"/>
    <w:rsid w:val="002864A5"/>
    <w:rsid w:val="00287C69"/>
    <w:rsid w:val="00290A4C"/>
    <w:rsid w:val="0029133D"/>
    <w:rsid w:val="00294198"/>
    <w:rsid w:val="00294F87"/>
    <w:rsid w:val="002955B6"/>
    <w:rsid w:val="00296104"/>
    <w:rsid w:val="00297F2D"/>
    <w:rsid w:val="002A2AE1"/>
    <w:rsid w:val="002B0C3D"/>
    <w:rsid w:val="002B52FF"/>
    <w:rsid w:val="002C00D8"/>
    <w:rsid w:val="002C048B"/>
    <w:rsid w:val="002C1AD8"/>
    <w:rsid w:val="002C4735"/>
    <w:rsid w:val="002C6A9B"/>
    <w:rsid w:val="002D2182"/>
    <w:rsid w:val="002D32AE"/>
    <w:rsid w:val="002E1DFF"/>
    <w:rsid w:val="002E7E29"/>
    <w:rsid w:val="002F1F31"/>
    <w:rsid w:val="002F2709"/>
    <w:rsid w:val="002F3412"/>
    <w:rsid w:val="002F5E05"/>
    <w:rsid w:val="002F5EAD"/>
    <w:rsid w:val="00302AD1"/>
    <w:rsid w:val="00302C1C"/>
    <w:rsid w:val="003102FA"/>
    <w:rsid w:val="00315860"/>
    <w:rsid w:val="00317D55"/>
    <w:rsid w:val="00317F91"/>
    <w:rsid w:val="00321276"/>
    <w:rsid w:val="00332EAA"/>
    <w:rsid w:val="003361FD"/>
    <w:rsid w:val="003407C3"/>
    <w:rsid w:val="00340A34"/>
    <w:rsid w:val="0034395E"/>
    <w:rsid w:val="00350F48"/>
    <w:rsid w:val="00352148"/>
    <w:rsid w:val="00357C96"/>
    <w:rsid w:val="0036077E"/>
    <w:rsid w:val="00362875"/>
    <w:rsid w:val="0036290A"/>
    <w:rsid w:val="0037119B"/>
    <w:rsid w:val="003736A9"/>
    <w:rsid w:val="00380381"/>
    <w:rsid w:val="00380A15"/>
    <w:rsid w:val="00382E9F"/>
    <w:rsid w:val="00391BEF"/>
    <w:rsid w:val="00393DE0"/>
    <w:rsid w:val="00395D87"/>
    <w:rsid w:val="003A074D"/>
    <w:rsid w:val="003A3550"/>
    <w:rsid w:val="003B47A6"/>
    <w:rsid w:val="003B65D0"/>
    <w:rsid w:val="003B6EC4"/>
    <w:rsid w:val="003C31E8"/>
    <w:rsid w:val="003C3B23"/>
    <w:rsid w:val="003C4BF5"/>
    <w:rsid w:val="003C7BC8"/>
    <w:rsid w:val="003D2F0C"/>
    <w:rsid w:val="003F14B8"/>
    <w:rsid w:val="003F4001"/>
    <w:rsid w:val="00404C73"/>
    <w:rsid w:val="004067C6"/>
    <w:rsid w:val="0041060D"/>
    <w:rsid w:val="00414724"/>
    <w:rsid w:val="004300EC"/>
    <w:rsid w:val="0043315E"/>
    <w:rsid w:val="004345F4"/>
    <w:rsid w:val="00435F4B"/>
    <w:rsid w:val="00440935"/>
    <w:rsid w:val="00445F75"/>
    <w:rsid w:val="00460600"/>
    <w:rsid w:val="004668F0"/>
    <w:rsid w:val="00466E73"/>
    <w:rsid w:val="0048280E"/>
    <w:rsid w:val="0048372B"/>
    <w:rsid w:val="004843B4"/>
    <w:rsid w:val="00485EEC"/>
    <w:rsid w:val="00493116"/>
    <w:rsid w:val="00495CEF"/>
    <w:rsid w:val="004A062F"/>
    <w:rsid w:val="004A08C5"/>
    <w:rsid w:val="004A1853"/>
    <w:rsid w:val="004A446C"/>
    <w:rsid w:val="004A5E42"/>
    <w:rsid w:val="004A78AB"/>
    <w:rsid w:val="004B156A"/>
    <w:rsid w:val="004B44E0"/>
    <w:rsid w:val="004D0465"/>
    <w:rsid w:val="004D51F7"/>
    <w:rsid w:val="004E1311"/>
    <w:rsid w:val="004E5182"/>
    <w:rsid w:val="004E5590"/>
    <w:rsid w:val="004F0763"/>
    <w:rsid w:val="004F094C"/>
    <w:rsid w:val="004F3156"/>
    <w:rsid w:val="004F3B92"/>
    <w:rsid w:val="00501E8E"/>
    <w:rsid w:val="0050486A"/>
    <w:rsid w:val="00504B6F"/>
    <w:rsid w:val="0051235E"/>
    <w:rsid w:val="00512E86"/>
    <w:rsid w:val="005141C2"/>
    <w:rsid w:val="00514B53"/>
    <w:rsid w:val="005155A0"/>
    <w:rsid w:val="0051562B"/>
    <w:rsid w:val="005157FF"/>
    <w:rsid w:val="00520F94"/>
    <w:rsid w:val="005242FE"/>
    <w:rsid w:val="00526869"/>
    <w:rsid w:val="005300C0"/>
    <w:rsid w:val="00533A90"/>
    <w:rsid w:val="00536F8F"/>
    <w:rsid w:val="0055312A"/>
    <w:rsid w:val="0055393A"/>
    <w:rsid w:val="00554E3C"/>
    <w:rsid w:val="005612BF"/>
    <w:rsid w:val="005710D8"/>
    <w:rsid w:val="005722C7"/>
    <w:rsid w:val="0057346F"/>
    <w:rsid w:val="0057490A"/>
    <w:rsid w:val="00575AE2"/>
    <w:rsid w:val="00580B25"/>
    <w:rsid w:val="00583299"/>
    <w:rsid w:val="00591469"/>
    <w:rsid w:val="0059309B"/>
    <w:rsid w:val="0059778D"/>
    <w:rsid w:val="005A0D44"/>
    <w:rsid w:val="005A4949"/>
    <w:rsid w:val="005A77BF"/>
    <w:rsid w:val="005B6493"/>
    <w:rsid w:val="005B7952"/>
    <w:rsid w:val="005C2253"/>
    <w:rsid w:val="005C2C3D"/>
    <w:rsid w:val="005C3CF6"/>
    <w:rsid w:val="005D4941"/>
    <w:rsid w:val="005E1213"/>
    <w:rsid w:val="005E2AD6"/>
    <w:rsid w:val="005F0750"/>
    <w:rsid w:val="005F0AB6"/>
    <w:rsid w:val="005F6910"/>
    <w:rsid w:val="00602E64"/>
    <w:rsid w:val="00604FDE"/>
    <w:rsid w:val="00610B36"/>
    <w:rsid w:val="00611269"/>
    <w:rsid w:val="00612B5C"/>
    <w:rsid w:val="00615D6B"/>
    <w:rsid w:val="00616711"/>
    <w:rsid w:val="00624351"/>
    <w:rsid w:val="00632A24"/>
    <w:rsid w:val="00634408"/>
    <w:rsid w:val="00640F20"/>
    <w:rsid w:val="0064578B"/>
    <w:rsid w:val="00653677"/>
    <w:rsid w:val="006539DA"/>
    <w:rsid w:val="00660417"/>
    <w:rsid w:val="00660D71"/>
    <w:rsid w:val="00661EC1"/>
    <w:rsid w:val="00663FD0"/>
    <w:rsid w:val="00664684"/>
    <w:rsid w:val="00665359"/>
    <w:rsid w:val="00670877"/>
    <w:rsid w:val="00671885"/>
    <w:rsid w:val="0067190F"/>
    <w:rsid w:val="0067572A"/>
    <w:rsid w:val="00675987"/>
    <w:rsid w:val="00675EB0"/>
    <w:rsid w:val="00677C55"/>
    <w:rsid w:val="006820CC"/>
    <w:rsid w:val="006828CC"/>
    <w:rsid w:val="00693315"/>
    <w:rsid w:val="0069447D"/>
    <w:rsid w:val="006959D3"/>
    <w:rsid w:val="00697181"/>
    <w:rsid w:val="006A1E41"/>
    <w:rsid w:val="006A46BF"/>
    <w:rsid w:val="006A48E4"/>
    <w:rsid w:val="006A75A8"/>
    <w:rsid w:val="006A77C5"/>
    <w:rsid w:val="006B33C1"/>
    <w:rsid w:val="006B63C4"/>
    <w:rsid w:val="006C1EB0"/>
    <w:rsid w:val="006D0F2F"/>
    <w:rsid w:val="006D64F0"/>
    <w:rsid w:val="006D673D"/>
    <w:rsid w:val="006D77B1"/>
    <w:rsid w:val="006E0C81"/>
    <w:rsid w:val="006F102F"/>
    <w:rsid w:val="006F401A"/>
    <w:rsid w:val="006F78A6"/>
    <w:rsid w:val="0070067C"/>
    <w:rsid w:val="00700DA1"/>
    <w:rsid w:val="00705342"/>
    <w:rsid w:val="00707C55"/>
    <w:rsid w:val="007124AC"/>
    <w:rsid w:val="00716D97"/>
    <w:rsid w:val="007237DC"/>
    <w:rsid w:val="00723952"/>
    <w:rsid w:val="007271C2"/>
    <w:rsid w:val="007329B9"/>
    <w:rsid w:val="00734CB2"/>
    <w:rsid w:val="0073780D"/>
    <w:rsid w:val="00741B00"/>
    <w:rsid w:val="007438FB"/>
    <w:rsid w:val="0074788E"/>
    <w:rsid w:val="00751B33"/>
    <w:rsid w:val="0075409B"/>
    <w:rsid w:val="00762A4A"/>
    <w:rsid w:val="00763999"/>
    <w:rsid w:val="007666D5"/>
    <w:rsid w:val="00767AD5"/>
    <w:rsid w:val="007718C1"/>
    <w:rsid w:val="007748F9"/>
    <w:rsid w:val="00777095"/>
    <w:rsid w:val="00787EEC"/>
    <w:rsid w:val="00791A7A"/>
    <w:rsid w:val="007A17D4"/>
    <w:rsid w:val="007A1C8D"/>
    <w:rsid w:val="007A5976"/>
    <w:rsid w:val="007A64C5"/>
    <w:rsid w:val="007B1F12"/>
    <w:rsid w:val="007B4350"/>
    <w:rsid w:val="007B6D73"/>
    <w:rsid w:val="007B7484"/>
    <w:rsid w:val="007D736C"/>
    <w:rsid w:val="007E1EC8"/>
    <w:rsid w:val="007F07F3"/>
    <w:rsid w:val="007F1BD5"/>
    <w:rsid w:val="00807AA0"/>
    <w:rsid w:val="008112CC"/>
    <w:rsid w:val="008112EB"/>
    <w:rsid w:val="0081646F"/>
    <w:rsid w:val="0081675B"/>
    <w:rsid w:val="00816DF6"/>
    <w:rsid w:val="00822136"/>
    <w:rsid w:val="008314FB"/>
    <w:rsid w:val="008332AA"/>
    <w:rsid w:val="008370DC"/>
    <w:rsid w:val="008400C8"/>
    <w:rsid w:val="00840CDA"/>
    <w:rsid w:val="00844914"/>
    <w:rsid w:val="00845CD8"/>
    <w:rsid w:val="008472B9"/>
    <w:rsid w:val="008531B2"/>
    <w:rsid w:val="00853897"/>
    <w:rsid w:val="00856D10"/>
    <w:rsid w:val="0087400B"/>
    <w:rsid w:val="008957E0"/>
    <w:rsid w:val="008A2FB7"/>
    <w:rsid w:val="008A373A"/>
    <w:rsid w:val="008A478B"/>
    <w:rsid w:val="008A4CF3"/>
    <w:rsid w:val="008A7B74"/>
    <w:rsid w:val="008B392A"/>
    <w:rsid w:val="008B422A"/>
    <w:rsid w:val="008B482C"/>
    <w:rsid w:val="008B67DF"/>
    <w:rsid w:val="008C4890"/>
    <w:rsid w:val="008D031F"/>
    <w:rsid w:val="008D334F"/>
    <w:rsid w:val="008D6187"/>
    <w:rsid w:val="008D7E9A"/>
    <w:rsid w:val="008E3F78"/>
    <w:rsid w:val="008E5057"/>
    <w:rsid w:val="008F39A6"/>
    <w:rsid w:val="00900EDB"/>
    <w:rsid w:val="00903F79"/>
    <w:rsid w:val="00905903"/>
    <w:rsid w:val="00917E6D"/>
    <w:rsid w:val="00920FA4"/>
    <w:rsid w:val="00921C94"/>
    <w:rsid w:val="0092268E"/>
    <w:rsid w:val="009264D1"/>
    <w:rsid w:val="009309B5"/>
    <w:rsid w:val="0093110C"/>
    <w:rsid w:val="00935D12"/>
    <w:rsid w:val="009407D5"/>
    <w:rsid w:val="00953687"/>
    <w:rsid w:val="009549A8"/>
    <w:rsid w:val="00970B8D"/>
    <w:rsid w:val="00980704"/>
    <w:rsid w:val="009810DB"/>
    <w:rsid w:val="00983245"/>
    <w:rsid w:val="0099039E"/>
    <w:rsid w:val="00991E10"/>
    <w:rsid w:val="00993E56"/>
    <w:rsid w:val="00994346"/>
    <w:rsid w:val="00996E52"/>
    <w:rsid w:val="009A6983"/>
    <w:rsid w:val="009A7081"/>
    <w:rsid w:val="009B0562"/>
    <w:rsid w:val="009B3743"/>
    <w:rsid w:val="009C22BF"/>
    <w:rsid w:val="009D028E"/>
    <w:rsid w:val="009D3426"/>
    <w:rsid w:val="009D35C4"/>
    <w:rsid w:val="009D4C2A"/>
    <w:rsid w:val="009E06BB"/>
    <w:rsid w:val="009E1C8C"/>
    <w:rsid w:val="009E1D44"/>
    <w:rsid w:val="009E34C1"/>
    <w:rsid w:val="009E5B9C"/>
    <w:rsid w:val="009E5D9B"/>
    <w:rsid w:val="009E605A"/>
    <w:rsid w:val="009E6CE9"/>
    <w:rsid w:val="009E7EEA"/>
    <w:rsid w:val="00A061B5"/>
    <w:rsid w:val="00A06DC4"/>
    <w:rsid w:val="00A06EE2"/>
    <w:rsid w:val="00A13458"/>
    <w:rsid w:val="00A15638"/>
    <w:rsid w:val="00A20370"/>
    <w:rsid w:val="00A206B6"/>
    <w:rsid w:val="00A22822"/>
    <w:rsid w:val="00A267D1"/>
    <w:rsid w:val="00A311E0"/>
    <w:rsid w:val="00A3301F"/>
    <w:rsid w:val="00A33BEB"/>
    <w:rsid w:val="00A40BE0"/>
    <w:rsid w:val="00A52147"/>
    <w:rsid w:val="00A564B6"/>
    <w:rsid w:val="00A652FA"/>
    <w:rsid w:val="00A66DDC"/>
    <w:rsid w:val="00A67B3C"/>
    <w:rsid w:val="00A74917"/>
    <w:rsid w:val="00A76FE9"/>
    <w:rsid w:val="00A8393C"/>
    <w:rsid w:val="00A85BFC"/>
    <w:rsid w:val="00A878DC"/>
    <w:rsid w:val="00A965FB"/>
    <w:rsid w:val="00AA7934"/>
    <w:rsid w:val="00AB0310"/>
    <w:rsid w:val="00AB08BC"/>
    <w:rsid w:val="00AB1E28"/>
    <w:rsid w:val="00AB2278"/>
    <w:rsid w:val="00AB3A94"/>
    <w:rsid w:val="00AD000A"/>
    <w:rsid w:val="00AD03B5"/>
    <w:rsid w:val="00AD0D75"/>
    <w:rsid w:val="00AD6D1D"/>
    <w:rsid w:val="00AD7211"/>
    <w:rsid w:val="00AE115A"/>
    <w:rsid w:val="00AE4A10"/>
    <w:rsid w:val="00AE52DF"/>
    <w:rsid w:val="00AE5953"/>
    <w:rsid w:val="00B02339"/>
    <w:rsid w:val="00B06FAF"/>
    <w:rsid w:val="00B0725A"/>
    <w:rsid w:val="00B11E17"/>
    <w:rsid w:val="00B12256"/>
    <w:rsid w:val="00B277C8"/>
    <w:rsid w:val="00B32432"/>
    <w:rsid w:val="00B35F6C"/>
    <w:rsid w:val="00B47C67"/>
    <w:rsid w:val="00B53C96"/>
    <w:rsid w:val="00B564C6"/>
    <w:rsid w:val="00B65315"/>
    <w:rsid w:val="00B72C31"/>
    <w:rsid w:val="00B76395"/>
    <w:rsid w:val="00B82B6C"/>
    <w:rsid w:val="00B92054"/>
    <w:rsid w:val="00BB2058"/>
    <w:rsid w:val="00BB3B6D"/>
    <w:rsid w:val="00BB5D65"/>
    <w:rsid w:val="00BD224C"/>
    <w:rsid w:val="00BD4CD4"/>
    <w:rsid w:val="00BE0B00"/>
    <w:rsid w:val="00BE40D3"/>
    <w:rsid w:val="00BE44D6"/>
    <w:rsid w:val="00BE7B14"/>
    <w:rsid w:val="00BF0D8C"/>
    <w:rsid w:val="00BF204A"/>
    <w:rsid w:val="00BF2EA5"/>
    <w:rsid w:val="00BF3918"/>
    <w:rsid w:val="00BF7D8A"/>
    <w:rsid w:val="00C00E9F"/>
    <w:rsid w:val="00C038DC"/>
    <w:rsid w:val="00C074D2"/>
    <w:rsid w:val="00C10FF3"/>
    <w:rsid w:val="00C12CE2"/>
    <w:rsid w:val="00C21D21"/>
    <w:rsid w:val="00C224B4"/>
    <w:rsid w:val="00C22588"/>
    <w:rsid w:val="00C2426B"/>
    <w:rsid w:val="00C24F88"/>
    <w:rsid w:val="00C2686B"/>
    <w:rsid w:val="00C26989"/>
    <w:rsid w:val="00C26D7F"/>
    <w:rsid w:val="00C3387E"/>
    <w:rsid w:val="00C348F7"/>
    <w:rsid w:val="00C37FDA"/>
    <w:rsid w:val="00C4246F"/>
    <w:rsid w:val="00C51DF5"/>
    <w:rsid w:val="00C525D1"/>
    <w:rsid w:val="00C52A73"/>
    <w:rsid w:val="00C5471F"/>
    <w:rsid w:val="00C55866"/>
    <w:rsid w:val="00C56121"/>
    <w:rsid w:val="00C64B0F"/>
    <w:rsid w:val="00C76D7A"/>
    <w:rsid w:val="00C82B54"/>
    <w:rsid w:val="00C84631"/>
    <w:rsid w:val="00C877F2"/>
    <w:rsid w:val="00C931AA"/>
    <w:rsid w:val="00CA2B77"/>
    <w:rsid w:val="00CA7C9A"/>
    <w:rsid w:val="00CB1733"/>
    <w:rsid w:val="00CC059E"/>
    <w:rsid w:val="00CC235A"/>
    <w:rsid w:val="00CC6CE9"/>
    <w:rsid w:val="00CC7CF7"/>
    <w:rsid w:val="00CD1229"/>
    <w:rsid w:val="00CD1A1E"/>
    <w:rsid w:val="00CE1541"/>
    <w:rsid w:val="00CE2228"/>
    <w:rsid w:val="00CE400C"/>
    <w:rsid w:val="00CE4200"/>
    <w:rsid w:val="00CE63AD"/>
    <w:rsid w:val="00CE6C94"/>
    <w:rsid w:val="00CE7C2B"/>
    <w:rsid w:val="00CF13F1"/>
    <w:rsid w:val="00CF2BCA"/>
    <w:rsid w:val="00CF2FE0"/>
    <w:rsid w:val="00D020BD"/>
    <w:rsid w:val="00D167CA"/>
    <w:rsid w:val="00D20C71"/>
    <w:rsid w:val="00D220AC"/>
    <w:rsid w:val="00D3107D"/>
    <w:rsid w:val="00D34F39"/>
    <w:rsid w:val="00D37A73"/>
    <w:rsid w:val="00D37F43"/>
    <w:rsid w:val="00D41B22"/>
    <w:rsid w:val="00D41BF2"/>
    <w:rsid w:val="00D449E2"/>
    <w:rsid w:val="00D454C1"/>
    <w:rsid w:val="00D47D78"/>
    <w:rsid w:val="00D51A0E"/>
    <w:rsid w:val="00D5720C"/>
    <w:rsid w:val="00D621A5"/>
    <w:rsid w:val="00D66831"/>
    <w:rsid w:val="00D72455"/>
    <w:rsid w:val="00D748A5"/>
    <w:rsid w:val="00D81B5E"/>
    <w:rsid w:val="00D82555"/>
    <w:rsid w:val="00D83309"/>
    <w:rsid w:val="00D83AA0"/>
    <w:rsid w:val="00D84D3A"/>
    <w:rsid w:val="00D8658D"/>
    <w:rsid w:val="00D957B4"/>
    <w:rsid w:val="00D9695C"/>
    <w:rsid w:val="00DA3813"/>
    <w:rsid w:val="00DA494A"/>
    <w:rsid w:val="00DA6C52"/>
    <w:rsid w:val="00DB11B5"/>
    <w:rsid w:val="00DB1BF6"/>
    <w:rsid w:val="00DB4D31"/>
    <w:rsid w:val="00DB5835"/>
    <w:rsid w:val="00DB5E16"/>
    <w:rsid w:val="00DC1854"/>
    <w:rsid w:val="00DC529A"/>
    <w:rsid w:val="00DC6B04"/>
    <w:rsid w:val="00DD3EAA"/>
    <w:rsid w:val="00DD5142"/>
    <w:rsid w:val="00DD7A7F"/>
    <w:rsid w:val="00DE5F34"/>
    <w:rsid w:val="00DF4EFD"/>
    <w:rsid w:val="00DF5803"/>
    <w:rsid w:val="00DF6621"/>
    <w:rsid w:val="00E061EE"/>
    <w:rsid w:val="00E11813"/>
    <w:rsid w:val="00E20139"/>
    <w:rsid w:val="00E21F42"/>
    <w:rsid w:val="00E220ED"/>
    <w:rsid w:val="00E23549"/>
    <w:rsid w:val="00E27EBD"/>
    <w:rsid w:val="00E31DCC"/>
    <w:rsid w:val="00E4119A"/>
    <w:rsid w:val="00E4482F"/>
    <w:rsid w:val="00E50F0C"/>
    <w:rsid w:val="00E5589C"/>
    <w:rsid w:val="00E60D9C"/>
    <w:rsid w:val="00E671D3"/>
    <w:rsid w:val="00E717E7"/>
    <w:rsid w:val="00E764E6"/>
    <w:rsid w:val="00E7726C"/>
    <w:rsid w:val="00E80B22"/>
    <w:rsid w:val="00E836FB"/>
    <w:rsid w:val="00E83A31"/>
    <w:rsid w:val="00E8452C"/>
    <w:rsid w:val="00E903B2"/>
    <w:rsid w:val="00EA2E5D"/>
    <w:rsid w:val="00EA429E"/>
    <w:rsid w:val="00EB6D64"/>
    <w:rsid w:val="00EC29EA"/>
    <w:rsid w:val="00EC5AC6"/>
    <w:rsid w:val="00EC71E9"/>
    <w:rsid w:val="00ED00AC"/>
    <w:rsid w:val="00ED065C"/>
    <w:rsid w:val="00EE090B"/>
    <w:rsid w:val="00EE72F5"/>
    <w:rsid w:val="00EF65BB"/>
    <w:rsid w:val="00EF6DEE"/>
    <w:rsid w:val="00F0488E"/>
    <w:rsid w:val="00F13D52"/>
    <w:rsid w:val="00F149B1"/>
    <w:rsid w:val="00F16615"/>
    <w:rsid w:val="00F209FF"/>
    <w:rsid w:val="00F24829"/>
    <w:rsid w:val="00F24EDC"/>
    <w:rsid w:val="00F25ABA"/>
    <w:rsid w:val="00F26C4B"/>
    <w:rsid w:val="00F26CD2"/>
    <w:rsid w:val="00F315C4"/>
    <w:rsid w:val="00F31F26"/>
    <w:rsid w:val="00F3664E"/>
    <w:rsid w:val="00F37051"/>
    <w:rsid w:val="00F459B1"/>
    <w:rsid w:val="00F54AD5"/>
    <w:rsid w:val="00F61DED"/>
    <w:rsid w:val="00F628DD"/>
    <w:rsid w:val="00F634EB"/>
    <w:rsid w:val="00F646C4"/>
    <w:rsid w:val="00F7074E"/>
    <w:rsid w:val="00F71F98"/>
    <w:rsid w:val="00F7316C"/>
    <w:rsid w:val="00F73AC0"/>
    <w:rsid w:val="00F80552"/>
    <w:rsid w:val="00F811A7"/>
    <w:rsid w:val="00F8185C"/>
    <w:rsid w:val="00FA04E9"/>
    <w:rsid w:val="00FA1E10"/>
    <w:rsid w:val="00FA3198"/>
    <w:rsid w:val="00FA3C63"/>
    <w:rsid w:val="00FA71B4"/>
    <w:rsid w:val="00FB124C"/>
    <w:rsid w:val="00FB5593"/>
    <w:rsid w:val="00FC3F57"/>
    <w:rsid w:val="00FD0A79"/>
    <w:rsid w:val="00FD5348"/>
    <w:rsid w:val="00FE0E6D"/>
    <w:rsid w:val="00FE588E"/>
    <w:rsid w:val="00FE7849"/>
    <w:rsid w:val="00FE7BE8"/>
    <w:rsid w:val="00FF064B"/>
    <w:rsid w:val="00FF08C7"/>
    <w:rsid w:val="00FF1554"/>
    <w:rsid w:val="00FF332B"/>
    <w:rsid w:val="01FE5971"/>
    <w:rsid w:val="027A77C1"/>
    <w:rsid w:val="028F491F"/>
    <w:rsid w:val="038D01FD"/>
    <w:rsid w:val="03BD3D36"/>
    <w:rsid w:val="03D2448F"/>
    <w:rsid w:val="041D2C9D"/>
    <w:rsid w:val="04455207"/>
    <w:rsid w:val="0450700B"/>
    <w:rsid w:val="04517A58"/>
    <w:rsid w:val="0490311A"/>
    <w:rsid w:val="04BE23A5"/>
    <w:rsid w:val="04BF3B56"/>
    <w:rsid w:val="04EF6F26"/>
    <w:rsid w:val="058802DD"/>
    <w:rsid w:val="05FD3B43"/>
    <w:rsid w:val="06484E98"/>
    <w:rsid w:val="06556E39"/>
    <w:rsid w:val="06E83375"/>
    <w:rsid w:val="06EF6A97"/>
    <w:rsid w:val="07913D3D"/>
    <w:rsid w:val="07B371BD"/>
    <w:rsid w:val="07DC617E"/>
    <w:rsid w:val="07E14125"/>
    <w:rsid w:val="085B3E0D"/>
    <w:rsid w:val="08CA17C6"/>
    <w:rsid w:val="08EA6A22"/>
    <w:rsid w:val="09154EB8"/>
    <w:rsid w:val="094C4341"/>
    <w:rsid w:val="09645BFD"/>
    <w:rsid w:val="09C47861"/>
    <w:rsid w:val="0A045AE0"/>
    <w:rsid w:val="0A5D72DC"/>
    <w:rsid w:val="0AB945A1"/>
    <w:rsid w:val="0AF7680D"/>
    <w:rsid w:val="0B8C31F9"/>
    <w:rsid w:val="0BF202F5"/>
    <w:rsid w:val="0CE37F27"/>
    <w:rsid w:val="0D1F336B"/>
    <w:rsid w:val="0E9D6BBB"/>
    <w:rsid w:val="0ECE0394"/>
    <w:rsid w:val="0EFA5E48"/>
    <w:rsid w:val="0F326BA0"/>
    <w:rsid w:val="0F841987"/>
    <w:rsid w:val="0F9D0EBF"/>
    <w:rsid w:val="11B8707C"/>
    <w:rsid w:val="13136145"/>
    <w:rsid w:val="135F33F5"/>
    <w:rsid w:val="14027288"/>
    <w:rsid w:val="140C23A5"/>
    <w:rsid w:val="14D2562C"/>
    <w:rsid w:val="14D31973"/>
    <w:rsid w:val="14FA59C9"/>
    <w:rsid w:val="152A0AFF"/>
    <w:rsid w:val="1649519F"/>
    <w:rsid w:val="16913178"/>
    <w:rsid w:val="16FF6615"/>
    <w:rsid w:val="17002DF8"/>
    <w:rsid w:val="17125CEF"/>
    <w:rsid w:val="174C337B"/>
    <w:rsid w:val="17557CB9"/>
    <w:rsid w:val="185241E1"/>
    <w:rsid w:val="18AA7BF5"/>
    <w:rsid w:val="18AB0A17"/>
    <w:rsid w:val="192E4AE6"/>
    <w:rsid w:val="19AB6E72"/>
    <w:rsid w:val="1A7306A9"/>
    <w:rsid w:val="1AB145E1"/>
    <w:rsid w:val="1AC255F3"/>
    <w:rsid w:val="1AE90104"/>
    <w:rsid w:val="1B0A5D65"/>
    <w:rsid w:val="1B3F285C"/>
    <w:rsid w:val="1B6260FC"/>
    <w:rsid w:val="1C1856EB"/>
    <w:rsid w:val="1CB440FB"/>
    <w:rsid w:val="1D2D43D9"/>
    <w:rsid w:val="1D781EA3"/>
    <w:rsid w:val="1E630C0C"/>
    <w:rsid w:val="1E8539B9"/>
    <w:rsid w:val="1F073C5F"/>
    <w:rsid w:val="1F6B0692"/>
    <w:rsid w:val="1F775289"/>
    <w:rsid w:val="1FB07714"/>
    <w:rsid w:val="1FBE71E9"/>
    <w:rsid w:val="20282FFF"/>
    <w:rsid w:val="214243E3"/>
    <w:rsid w:val="21E65B6A"/>
    <w:rsid w:val="227125E2"/>
    <w:rsid w:val="22B934C3"/>
    <w:rsid w:val="22E5658B"/>
    <w:rsid w:val="233139A1"/>
    <w:rsid w:val="234C3C41"/>
    <w:rsid w:val="239E442A"/>
    <w:rsid w:val="247B4B8D"/>
    <w:rsid w:val="249124AC"/>
    <w:rsid w:val="24C55C43"/>
    <w:rsid w:val="24EA38CC"/>
    <w:rsid w:val="25235B93"/>
    <w:rsid w:val="25496246"/>
    <w:rsid w:val="256300DD"/>
    <w:rsid w:val="259222FC"/>
    <w:rsid w:val="25E360C2"/>
    <w:rsid w:val="25F26CE2"/>
    <w:rsid w:val="263F27D1"/>
    <w:rsid w:val="267C4EC5"/>
    <w:rsid w:val="269404CF"/>
    <w:rsid w:val="27017D1F"/>
    <w:rsid w:val="27AC402D"/>
    <w:rsid w:val="27B02D51"/>
    <w:rsid w:val="28117266"/>
    <w:rsid w:val="28C747BD"/>
    <w:rsid w:val="28CD5F1A"/>
    <w:rsid w:val="294A00E2"/>
    <w:rsid w:val="294A756A"/>
    <w:rsid w:val="29876764"/>
    <w:rsid w:val="29E54C96"/>
    <w:rsid w:val="2A1E705A"/>
    <w:rsid w:val="2A6E72C4"/>
    <w:rsid w:val="2A9C65AE"/>
    <w:rsid w:val="2AF21C5F"/>
    <w:rsid w:val="2AFD6FC6"/>
    <w:rsid w:val="2B6A3B8F"/>
    <w:rsid w:val="2BEE3F9F"/>
    <w:rsid w:val="2C856194"/>
    <w:rsid w:val="2C90767E"/>
    <w:rsid w:val="2CE33F5E"/>
    <w:rsid w:val="2D2307FE"/>
    <w:rsid w:val="2D3F6270"/>
    <w:rsid w:val="2D4F5C5E"/>
    <w:rsid w:val="2DC91D7E"/>
    <w:rsid w:val="2E106463"/>
    <w:rsid w:val="2F024A8F"/>
    <w:rsid w:val="2F2B080B"/>
    <w:rsid w:val="2F453924"/>
    <w:rsid w:val="2F57341F"/>
    <w:rsid w:val="2F8903BF"/>
    <w:rsid w:val="2FC76DA5"/>
    <w:rsid w:val="306A53C9"/>
    <w:rsid w:val="306A5A65"/>
    <w:rsid w:val="30D04760"/>
    <w:rsid w:val="30DF64CF"/>
    <w:rsid w:val="311A06DB"/>
    <w:rsid w:val="317B137B"/>
    <w:rsid w:val="3197355D"/>
    <w:rsid w:val="31A524C4"/>
    <w:rsid w:val="332E2F29"/>
    <w:rsid w:val="33490893"/>
    <w:rsid w:val="340A7DC1"/>
    <w:rsid w:val="34503692"/>
    <w:rsid w:val="34E24AFB"/>
    <w:rsid w:val="35472BB0"/>
    <w:rsid w:val="365D6B2F"/>
    <w:rsid w:val="367A7D64"/>
    <w:rsid w:val="370412B7"/>
    <w:rsid w:val="374769F9"/>
    <w:rsid w:val="37B72FAF"/>
    <w:rsid w:val="384A4E91"/>
    <w:rsid w:val="387151C2"/>
    <w:rsid w:val="395F436A"/>
    <w:rsid w:val="39637B15"/>
    <w:rsid w:val="39DF12B1"/>
    <w:rsid w:val="39EA77DB"/>
    <w:rsid w:val="3A8D5509"/>
    <w:rsid w:val="3A9E14C4"/>
    <w:rsid w:val="3BA879C6"/>
    <w:rsid w:val="3BB84F93"/>
    <w:rsid w:val="3D580050"/>
    <w:rsid w:val="3D5B18EE"/>
    <w:rsid w:val="3DE53B38"/>
    <w:rsid w:val="3E23681F"/>
    <w:rsid w:val="3ED701DB"/>
    <w:rsid w:val="3EFE56CE"/>
    <w:rsid w:val="3F963152"/>
    <w:rsid w:val="40257BBA"/>
    <w:rsid w:val="406B0613"/>
    <w:rsid w:val="40CF0629"/>
    <w:rsid w:val="413D193E"/>
    <w:rsid w:val="41EA6017"/>
    <w:rsid w:val="42107BEE"/>
    <w:rsid w:val="42620242"/>
    <w:rsid w:val="426C1B24"/>
    <w:rsid w:val="428B7C8E"/>
    <w:rsid w:val="42A51C96"/>
    <w:rsid w:val="43F2543D"/>
    <w:rsid w:val="442347E8"/>
    <w:rsid w:val="444B012A"/>
    <w:rsid w:val="4597370E"/>
    <w:rsid w:val="46CD560B"/>
    <w:rsid w:val="46E666CD"/>
    <w:rsid w:val="46F17B69"/>
    <w:rsid w:val="47804A75"/>
    <w:rsid w:val="479E4324"/>
    <w:rsid w:val="482C4A17"/>
    <w:rsid w:val="485208D2"/>
    <w:rsid w:val="48D92DDC"/>
    <w:rsid w:val="49290CAE"/>
    <w:rsid w:val="49735CE2"/>
    <w:rsid w:val="4B114295"/>
    <w:rsid w:val="4B12476D"/>
    <w:rsid w:val="4B154B9B"/>
    <w:rsid w:val="4B7655EE"/>
    <w:rsid w:val="4C0814C4"/>
    <w:rsid w:val="4C5D38F4"/>
    <w:rsid w:val="4C9F0FD7"/>
    <w:rsid w:val="4D353EA2"/>
    <w:rsid w:val="4D7549E6"/>
    <w:rsid w:val="4D901140"/>
    <w:rsid w:val="4E5959D6"/>
    <w:rsid w:val="4EF83B47"/>
    <w:rsid w:val="4F825CE3"/>
    <w:rsid w:val="4FAF27B1"/>
    <w:rsid w:val="4FD82DAE"/>
    <w:rsid w:val="4FFA6B7D"/>
    <w:rsid w:val="501D3E00"/>
    <w:rsid w:val="503F0BFC"/>
    <w:rsid w:val="51002139"/>
    <w:rsid w:val="51E056AD"/>
    <w:rsid w:val="52680BC7"/>
    <w:rsid w:val="531242BB"/>
    <w:rsid w:val="53342971"/>
    <w:rsid w:val="535D2413"/>
    <w:rsid w:val="549A0AF6"/>
    <w:rsid w:val="54AC42D6"/>
    <w:rsid w:val="54FB217D"/>
    <w:rsid w:val="551B6739"/>
    <w:rsid w:val="551E569C"/>
    <w:rsid w:val="557F01C6"/>
    <w:rsid w:val="5621657F"/>
    <w:rsid w:val="56AC2486"/>
    <w:rsid w:val="57A5105B"/>
    <w:rsid w:val="58353010"/>
    <w:rsid w:val="586E37F0"/>
    <w:rsid w:val="587A136B"/>
    <w:rsid w:val="59223A36"/>
    <w:rsid w:val="59BD26D5"/>
    <w:rsid w:val="59D40607"/>
    <w:rsid w:val="59F0461E"/>
    <w:rsid w:val="5A0C7DA1"/>
    <w:rsid w:val="5B1909C7"/>
    <w:rsid w:val="5B740BC8"/>
    <w:rsid w:val="5B947BDB"/>
    <w:rsid w:val="5BB10BFF"/>
    <w:rsid w:val="5BCB0ECB"/>
    <w:rsid w:val="5C2268F0"/>
    <w:rsid w:val="5C237623"/>
    <w:rsid w:val="5D04101B"/>
    <w:rsid w:val="5D5E6C15"/>
    <w:rsid w:val="5D9B1847"/>
    <w:rsid w:val="5DA2567B"/>
    <w:rsid w:val="5DD60239"/>
    <w:rsid w:val="5E40063D"/>
    <w:rsid w:val="5EA96E87"/>
    <w:rsid w:val="5F486F4A"/>
    <w:rsid w:val="605D1356"/>
    <w:rsid w:val="60DD4922"/>
    <w:rsid w:val="61700561"/>
    <w:rsid w:val="6237567B"/>
    <w:rsid w:val="628D2EDB"/>
    <w:rsid w:val="62C91468"/>
    <w:rsid w:val="62D02D91"/>
    <w:rsid w:val="62F537D8"/>
    <w:rsid w:val="6370733A"/>
    <w:rsid w:val="637D2E75"/>
    <w:rsid w:val="63A27EF0"/>
    <w:rsid w:val="644665A5"/>
    <w:rsid w:val="64634C5B"/>
    <w:rsid w:val="64AC6391"/>
    <w:rsid w:val="669C06FE"/>
    <w:rsid w:val="66E5229D"/>
    <w:rsid w:val="66EF6D4B"/>
    <w:rsid w:val="67592E6B"/>
    <w:rsid w:val="67FC6E05"/>
    <w:rsid w:val="69A022B3"/>
    <w:rsid w:val="69BB5AF7"/>
    <w:rsid w:val="69D3282D"/>
    <w:rsid w:val="6A4E7F61"/>
    <w:rsid w:val="6A670E11"/>
    <w:rsid w:val="6AAF5D15"/>
    <w:rsid w:val="6ACE6FF6"/>
    <w:rsid w:val="6B0D5BA0"/>
    <w:rsid w:val="6B5478DD"/>
    <w:rsid w:val="6B6712DB"/>
    <w:rsid w:val="6BBC0310"/>
    <w:rsid w:val="6C16401E"/>
    <w:rsid w:val="6C40624E"/>
    <w:rsid w:val="6C7069B7"/>
    <w:rsid w:val="6C876B11"/>
    <w:rsid w:val="6D567859"/>
    <w:rsid w:val="6DAE0693"/>
    <w:rsid w:val="6DD8026E"/>
    <w:rsid w:val="6E133C20"/>
    <w:rsid w:val="6F31305A"/>
    <w:rsid w:val="6F56024D"/>
    <w:rsid w:val="6F8D32DA"/>
    <w:rsid w:val="6F954DC1"/>
    <w:rsid w:val="6FCD390A"/>
    <w:rsid w:val="704A6721"/>
    <w:rsid w:val="7057541D"/>
    <w:rsid w:val="70AE6992"/>
    <w:rsid w:val="71037512"/>
    <w:rsid w:val="710D5957"/>
    <w:rsid w:val="71345513"/>
    <w:rsid w:val="71C07997"/>
    <w:rsid w:val="71F6366B"/>
    <w:rsid w:val="72231CD3"/>
    <w:rsid w:val="728F558F"/>
    <w:rsid w:val="72916C3D"/>
    <w:rsid w:val="729F4F12"/>
    <w:rsid w:val="72B1469D"/>
    <w:rsid w:val="72FA6ED8"/>
    <w:rsid w:val="72FD2F7E"/>
    <w:rsid w:val="73306683"/>
    <w:rsid w:val="73457303"/>
    <w:rsid w:val="738B162F"/>
    <w:rsid w:val="73A50172"/>
    <w:rsid w:val="73BD3074"/>
    <w:rsid w:val="73D634A1"/>
    <w:rsid w:val="74526350"/>
    <w:rsid w:val="74566E91"/>
    <w:rsid w:val="74C63A27"/>
    <w:rsid w:val="74D23626"/>
    <w:rsid w:val="74EB4D2A"/>
    <w:rsid w:val="75325667"/>
    <w:rsid w:val="75954C96"/>
    <w:rsid w:val="75FE6CDF"/>
    <w:rsid w:val="761D1BA4"/>
    <w:rsid w:val="76685F07"/>
    <w:rsid w:val="76937428"/>
    <w:rsid w:val="76996EEE"/>
    <w:rsid w:val="76F23337"/>
    <w:rsid w:val="780F0D30"/>
    <w:rsid w:val="7814095E"/>
    <w:rsid w:val="79740900"/>
    <w:rsid w:val="79DA35C0"/>
    <w:rsid w:val="7AC41D91"/>
    <w:rsid w:val="7ACC449A"/>
    <w:rsid w:val="7ADE2561"/>
    <w:rsid w:val="7B1E1ED6"/>
    <w:rsid w:val="7BA53563"/>
    <w:rsid w:val="7BB824AC"/>
    <w:rsid w:val="7C4160FC"/>
    <w:rsid w:val="7C7F66A3"/>
    <w:rsid w:val="7CB93C2C"/>
    <w:rsid w:val="7D1F067E"/>
    <w:rsid w:val="7D3F6BA5"/>
    <w:rsid w:val="7DE62533"/>
    <w:rsid w:val="7E747036"/>
    <w:rsid w:val="7F651E0F"/>
    <w:rsid w:val="7FB729B0"/>
    <w:rsid w:val="7FE40C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 w:locked="1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9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qFormat="1" w:unhideWhenUsed="0" w:uiPriority="99" w:semiHidden="0" w:name="Body Text First Indent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sz w:val="44"/>
      <w:szCs w:val="20"/>
    </w:rPr>
  </w:style>
  <w:style w:type="paragraph" w:styleId="3">
    <w:name w:val="heading 2"/>
    <w:basedOn w:val="1"/>
    <w:next w:val="1"/>
    <w:link w:val="21"/>
    <w:autoRedefine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1"/>
    <w:next w:val="1"/>
    <w:link w:val="22"/>
    <w:autoRedefine/>
    <w:qFormat/>
    <w:uiPriority w:val="99"/>
    <w:pPr>
      <w:keepNext/>
      <w:keepLines/>
      <w:spacing w:before="280" w:after="290" w:line="377" w:lineRule="auto"/>
      <w:outlineLvl w:val="3"/>
    </w:pPr>
    <w:rPr>
      <w:rFonts w:ascii="Cambria" w:hAnsi="Cambria"/>
      <w:b/>
      <w:kern w:val="0"/>
      <w:sz w:val="28"/>
      <w:szCs w:val="20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3"/>
    <w:autoRedefine/>
    <w:qFormat/>
    <w:uiPriority w:val="99"/>
    <w:pPr>
      <w:spacing w:after="120"/>
    </w:pPr>
    <w:rPr>
      <w:rFonts w:ascii="Times New Roman" w:hAnsi="Times New Roman"/>
      <w:kern w:val="0"/>
      <w:sz w:val="20"/>
      <w:szCs w:val="20"/>
    </w:rPr>
  </w:style>
  <w:style w:type="paragraph" w:styleId="6">
    <w:name w:val="toc 3"/>
    <w:basedOn w:val="1"/>
    <w:next w:val="1"/>
    <w:autoRedefine/>
    <w:qFormat/>
    <w:uiPriority w:val="99"/>
    <w:pPr>
      <w:widowControl/>
      <w:spacing w:after="100" w:line="259" w:lineRule="auto"/>
      <w:ind w:left="440"/>
      <w:jc w:val="left"/>
    </w:pPr>
    <w:rPr>
      <w:sz w:val="22"/>
    </w:rPr>
  </w:style>
  <w:style w:type="paragraph" w:styleId="7">
    <w:name w:val="Balloon Text"/>
    <w:basedOn w:val="1"/>
    <w:link w:val="25"/>
    <w:autoRedefine/>
    <w:qFormat/>
    <w:uiPriority w:val="99"/>
    <w:rPr>
      <w:rFonts w:ascii="Times New Roman" w:hAnsi="Times New Roman"/>
      <w:kern w:val="0"/>
      <w:sz w:val="18"/>
      <w:szCs w:val="20"/>
    </w:rPr>
  </w:style>
  <w:style w:type="paragraph" w:styleId="8">
    <w:name w:val="footer"/>
    <w:basedOn w:val="1"/>
    <w:link w:val="26"/>
    <w:autoRedefine/>
    <w:qFormat/>
    <w:uiPriority w:val="99"/>
    <w:pPr>
      <w:tabs>
        <w:tab w:val="center" w:pos="4153"/>
        <w:tab w:val="right" w:pos="8306"/>
      </w:tabs>
      <w:jc w:val="left"/>
    </w:pPr>
    <w:rPr>
      <w:rFonts w:ascii="Times New Roman" w:hAnsi="Times New Roman"/>
      <w:kern w:val="0"/>
      <w:sz w:val="18"/>
      <w:szCs w:val="20"/>
    </w:rPr>
  </w:style>
  <w:style w:type="paragraph" w:styleId="9">
    <w:name w:val="header"/>
    <w:basedOn w:val="1"/>
    <w:link w:val="27"/>
    <w:autoRedefine/>
    <w:qFormat/>
    <w:uiPriority w:val="99"/>
    <w:pPr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center"/>
    </w:pPr>
    <w:rPr>
      <w:rFonts w:ascii="Times New Roman" w:hAnsi="Times New Roman"/>
      <w:kern w:val="0"/>
      <w:sz w:val="18"/>
      <w:szCs w:val="20"/>
    </w:rPr>
  </w:style>
  <w:style w:type="paragraph" w:styleId="10">
    <w:name w:val="toc 1"/>
    <w:basedOn w:val="1"/>
    <w:next w:val="1"/>
    <w:autoRedefine/>
    <w:qFormat/>
    <w:uiPriority w:val="39"/>
    <w:pPr>
      <w:widowControl/>
      <w:spacing w:after="100" w:line="259" w:lineRule="auto"/>
      <w:jc w:val="left"/>
    </w:pPr>
    <w:rPr>
      <w:sz w:val="22"/>
    </w:rPr>
  </w:style>
  <w:style w:type="paragraph" w:styleId="11">
    <w:name w:val="toc 2"/>
    <w:basedOn w:val="1"/>
    <w:next w:val="1"/>
    <w:autoRedefine/>
    <w:qFormat/>
    <w:uiPriority w:val="39"/>
    <w:pPr>
      <w:widowControl/>
      <w:spacing w:after="100" w:line="259" w:lineRule="auto"/>
      <w:ind w:left="220"/>
      <w:jc w:val="left"/>
    </w:pPr>
    <w:rPr>
      <w:sz w:val="22"/>
    </w:rPr>
  </w:style>
  <w:style w:type="paragraph" w:styleId="12">
    <w:name w:val="Title"/>
    <w:basedOn w:val="1"/>
    <w:next w:val="1"/>
    <w:link w:val="28"/>
    <w:autoRedefine/>
    <w:qFormat/>
    <w:locked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3">
    <w:name w:val="Body Text First Indent"/>
    <w:basedOn w:val="5"/>
    <w:link w:val="24"/>
    <w:autoRedefine/>
    <w:qFormat/>
    <w:uiPriority w:val="99"/>
    <w:pPr>
      <w:spacing w:after="0"/>
      <w:ind w:firstLine="498"/>
    </w:pPr>
  </w:style>
  <w:style w:type="table" w:styleId="15">
    <w:name w:val="Table Grid"/>
    <w:basedOn w:val="14"/>
    <w:autoRedefine/>
    <w:qFormat/>
    <w:lock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autoRedefine/>
    <w:qFormat/>
    <w:uiPriority w:val="0"/>
    <w:rPr>
      <w:b/>
      <w:bCs/>
    </w:rPr>
  </w:style>
  <w:style w:type="character" w:styleId="18">
    <w:name w:val="Emphasis"/>
    <w:autoRedefine/>
    <w:qFormat/>
    <w:uiPriority w:val="99"/>
    <w:rPr>
      <w:rFonts w:cs="Times New Roman"/>
      <w:color w:val="CC0000"/>
    </w:rPr>
  </w:style>
  <w:style w:type="character" w:styleId="19">
    <w:name w:val="Hyperlink"/>
    <w:autoRedefine/>
    <w:qFormat/>
    <w:uiPriority w:val="99"/>
    <w:rPr>
      <w:rFonts w:cs="Times New Roman"/>
      <w:color w:val="0563C1"/>
      <w:u w:val="single"/>
    </w:rPr>
  </w:style>
  <w:style w:type="character" w:customStyle="1" w:styleId="20">
    <w:name w:val="标题 1 Char"/>
    <w:link w:val="2"/>
    <w:autoRedefine/>
    <w:qFormat/>
    <w:locked/>
    <w:uiPriority w:val="99"/>
    <w:rPr>
      <w:b/>
      <w:kern w:val="1"/>
      <w:sz w:val="44"/>
    </w:rPr>
  </w:style>
  <w:style w:type="character" w:customStyle="1" w:styleId="21">
    <w:name w:val="标题 2 Char"/>
    <w:link w:val="3"/>
    <w:autoRedefine/>
    <w:qFormat/>
    <w:locked/>
    <w:uiPriority w:val="99"/>
    <w:rPr>
      <w:rFonts w:ascii="Cambria" w:hAnsi="Cambria" w:eastAsia="宋体" w:cs="Times New Roman"/>
      <w:b/>
      <w:bCs/>
      <w:kern w:val="1"/>
      <w:sz w:val="32"/>
      <w:szCs w:val="32"/>
    </w:rPr>
  </w:style>
  <w:style w:type="character" w:customStyle="1" w:styleId="22">
    <w:name w:val="标题 4 Char"/>
    <w:link w:val="4"/>
    <w:autoRedefine/>
    <w:qFormat/>
    <w:locked/>
    <w:uiPriority w:val="99"/>
    <w:rPr>
      <w:rFonts w:ascii="Cambria" w:hAnsi="Cambria" w:eastAsia="宋体"/>
      <w:b/>
      <w:sz w:val="28"/>
    </w:rPr>
  </w:style>
  <w:style w:type="character" w:customStyle="1" w:styleId="23">
    <w:name w:val="正文文本 Char"/>
    <w:basedOn w:val="16"/>
    <w:link w:val="5"/>
    <w:autoRedefine/>
    <w:qFormat/>
    <w:locked/>
    <w:uiPriority w:val="99"/>
  </w:style>
  <w:style w:type="character" w:customStyle="1" w:styleId="24">
    <w:name w:val="正文首行缩进 Char"/>
    <w:link w:val="13"/>
    <w:autoRedefine/>
    <w:qFormat/>
    <w:locked/>
    <w:uiPriority w:val="99"/>
    <w:rPr>
      <w:rFonts w:cs="Times New Roman"/>
    </w:rPr>
  </w:style>
  <w:style w:type="character" w:customStyle="1" w:styleId="25">
    <w:name w:val="批注框文本 Char"/>
    <w:link w:val="7"/>
    <w:autoRedefine/>
    <w:qFormat/>
    <w:locked/>
    <w:uiPriority w:val="99"/>
    <w:rPr>
      <w:sz w:val="18"/>
    </w:rPr>
  </w:style>
  <w:style w:type="character" w:customStyle="1" w:styleId="26">
    <w:name w:val="页脚 Char"/>
    <w:link w:val="8"/>
    <w:autoRedefine/>
    <w:qFormat/>
    <w:locked/>
    <w:uiPriority w:val="99"/>
    <w:rPr>
      <w:sz w:val="18"/>
    </w:rPr>
  </w:style>
  <w:style w:type="character" w:customStyle="1" w:styleId="27">
    <w:name w:val="页眉 Char"/>
    <w:link w:val="9"/>
    <w:autoRedefine/>
    <w:qFormat/>
    <w:locked/>
    <w:uiPriority w:val="99"/>
    <w:rPr>
      <w:sz w:val="18"/>
    </w:rPr>
  </w:style>
  <w:style w:type="character" w:customStyle="1" w:styleId="28">
    <w:name w:val="标题 Char"/>
    <w:link w:val="12"/>
    <w:autoRedefine/>
    <w:qFormat/>
    <w:locked/>
    <w:uiPriority w:val="99"/>
    <w:rPr>
      <w:rFonts w:ascii="Cambria" w:hAnsi="Cambria" w:cs="Times New Roman"/>
      <w:b/>
      <w:bCs/>
      <w:kern w:val="1"/>
      <w:sz w:val="32"/>
      <w:szCs w:val="32"/>
    </w:rPr>
  </w:style>
  <w:style w:type="paragraph" w:customStyle="1" w:styleId="29">
    <w:name w:val="列出段落1"/>
    <w:autoRedefine/>
    <w:qFormat/>
    <w:uiPriority w:val="99"/>
    <w:pPr>
      <w:widowControl w:val="0"/>
      <w:ind w:firstLine="420"/>
      <w:jc w:val="both"/>
    </w:pPr>
    <w:rPr>
      <w:rFonts w:ascii="Calibri" w:hAnsi="Calibri" w:eastAsia="宋体" w:cs="Times New Roman"/>
      <w:kern w:val="1"/>
      <w:lang w:val="en-US" w:eastAsia="zh-CN" w:bidi="ar-SA"/>
    </w:rPr>
  </w:style>
  <w:style w:type="paragraph" w:customStyle="1" w:styleId="30">
    <w:name w:val="Default"/>
    <w:autoRedefine/>
    <w:qFormat/>
    <w:uiPriority w:val="99"/>
    <w:pPr>
      <w:widowControl w:val="0"/>
    </w:pPr>
    <w:rPr>
      <w:rFonts w:ascii="Times New Roman" w:hAnsi="Times New Roman" w:eastAsia="宋体" w:cs="Times New Roman"/>
      <w:kern w:val="1"/>
      <w:sz w:val="24"/>
      <w:szCs w:val="24"/>
      <w:lang w:val="en-US" w:eastAsia="zh-CN" w:bidi="ar-SA"/>
    </w:rPr>
  </w:style>
  <w:style w:type="paragraph" w:customStyle="1" w:styleId="31">
    <w:name w:val="样式1"/>
    <w:basedOn w:val="29"/>
    <w:autoRedefine/>
    <w:qFormat/>
    <w:uiPriority w:val="99"/>
    <w:pPr>
      <w:numPr>
        <w:ilvl w:val="0"/>
        <w:numId w:val="1"/>
      </w:numPr>
      <w:ind w:left="360" w:firstLine="0"/>
    </w:pPr>
    <w:rPr>
      <w:rFonts w:ascii="Times New Roman" w:hAnsi="Times New Roman"/>
      <w:b/>
      <w:sz w:val="32"/>
    </w:rPr>
  </w:style>
  <w:style w:type="paragraph" w:customStyle="1" w:styleId="32">
    <w:name w:val="TOC 标题1"/>
    <w:basedOn w:val="31"/>
    <w:autoRedefine/>
    <w:qFormat/>
    <w:uiPriority w:val="99"/>
    <w:pPr>
      <w:widowControl/>
      <w:spacing w:before="240" w:line="259" w:lineRule="auto"/>
      <w:jc w:val="left"/>
    </w:pPr>
    <w:rPr>
      <w:rFonts w:ascii="Calibri Light" w:hAnsi="Calibri Light"/>
      <w:b w:val="0"/>
      <w:color w:val="2E74B5"/>
      <w:szCs w:val="32"/>
    </w:rPr>
  </w:style>
  <w:style w:type="paragraph" w:customStyle="1" w:styleId="33">
    <w:name w:val="样式2"/>
    <w:basedOn w:val="31"/>
    <w:autoRedefine/>
    <w:qFormat/>
    <w:uiPriority w:val="99"/>
    <w:pPr>
      <w:ind w:hanging="360"/>
    </w:pPr>
  </w:style>
  <w:style w:type="paragraph" w:customStyle="1" w:styleId="34">
    <w:name w:val="列出段落11"/>
    <w:autoRedefine/>
    <w:qFormat/>
    <w:uiPriority w:val="99"/>
    <w:pPr>
      <w:widowControl w:val="0"/>
      <w:ind w:firstLine="42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customStyle="1" w:styleId="35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customStyle="1" w:styleId="36">
    <w:name w:val="列出段落2"/>
    <w:autoRedefine/>
    <w:qFormat/>
    <w:uiPriority w:val="99"/>
    <w:pPr>
      <w:widowControl w:val="0"/>
      <w:ind w:firstLine="42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customStyle="1" w:styleId="37">
    <w:name w:val="论文正文1"/>
    <w:autoRedefine/>
    <w:qFormat/>
    <w:uiPriority w:val="99"/>
    <w:pPr>
      <w:spacing w:line="400" w:lineRule="exact"/>
      <w:ind w:firstLine="477"/>
      <w:jc w:val="both"/>
    </w:pPr>
    <w:rPr>
      <w:rFonts w:ascii="Calibri" w:hAnsi="Calibri" w:eastAsia="宋体" w:cs="Times New Roman"/>
      <w:kern w:val="1"/>
      <w:sz w:val="24"/>
      <w:lang w:val="en-US" w:eastAsia="zh-CN" w:bidi="ar-SA"/>
    </w:rPr>
  </w:style>
  <w:style w:type="paragraph" w:customStyle="1" w:styleId="38">
    <w:name w:val="无间隔2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customStyle="1" w:styleId="39">
    <w:name w:val="reader-word-layer"/>
    <w:autoRedefine/>
    <w:qFormat/>
    <w:uiPriority w:val="99"/>
    <w:pPr>
      <w:spacing w:beforeAutospacing="1" w:afterAutospacing="1"/>
    </w:pPr>
    <w:rPr>
      <w:rFonts w:ascii="宋体" w:hAnsi="宋体" w:eastAsia="宋体" w:cs="宋体"/>
      <w:kern w:val="1"/>
      <w:sz w:val="24"/>
      <w:szCs w:val="24"/>
      <w:lang w:val="en-US" w:eastAsia="zh-CN" w:bidi="ar-SA"/>
    </w:rPr>
  </w:style>
  <w:style w:type="character" w:customStyle="1" w:styleId="40">
    <w:name w:val="列出段落 Char"/>
    <w:autoRedefine/>
    <w:qFormat/>
    <w:uiPriority w:val="99"/>
  </w:style>
  <w:style w:type="character" w:customStyle="1" w:styleId="41">
    <w:name w:val="样式1 Char"/>
    <w:autoRedefine/>
    <w:qFormat/>
    <w:uiPriority w:val="99"/>
    <w:rPr>
      <w:rFonts w:ascii="Times New Roman" w:hAnsi="Times New Roman"/>
      <w:b/>
      <w:sz w:val="32"/>
    </w:rPr>
  </w:style>
  <w:style w:type="character" w:customStyle="1" w:styleId="42">
    <w:name w:val="样式2 Char"/>
    <w:autoRedefine/>
    <w:qFormat/>
    <w:uiPriority w:val="99"/>
    <w:rPr>
      <w:b/>
      <w:sz w:val="44"/>
    </w:rPr>
  </w:style>
  <w:style w:type="character" w:customStyle="1" w:styleId="43">
    <w:name w:val="Body Text First Indent Char1"/>
    <w:autoRedefine/>
    <w:qFormat/>
    <w:uiPriority w:val="99"/>
    <w:rPr>
      <w:sz w:val="24"/>
    </w:rPr>
  </w:style>
  <w:style w:type="character" w:customStyle="1" w:styleId="44">
    <w:name w:val="apple-converted-space"/>
    <w:autoRedefine/>
    <w:qFormat/>
    <w:uiPriority w:val="99"/>
  </w:style>
  <w:style w:type="character" w:customStyle="1" w:styleId="45">
    <w:name w:val="论文正文1 Char"/>
    <w:autoRedefine/>
    <w:qFormat/>
    <w:uiPriority w:val="99"/>
    <w:rPr>
      <w:sz w:val="24"/>
    </w:rPr>
  </w:style>
  <w:style w:type="paragraph" w:customStyle="1" w:styleId="46">
    <w:name w:val="List Paragraph1"/>
    <w:basedOn w:val="1"/>
    <w:autoRedefine/>
    <w:qFormat/>
    <w:uiPriority w:val="99"/>
    <w:pPr>
      <w:ind w:firstLine="420" w:firstLineChars="200"/>
    </w:pPr>
    <w:rPr>
      <w:kern w:val="0"/>
      <w:sz w:val="20"/>
      <w:szCs w:val="20"/>
    </w:rPr>
  </w:style>
  <w:style w:type="table" w:customStyle="1" w:styleId="47">
    <w:name w:val="列表 6 彩色1"/>
    <w:autoRedefine/>
    <w:qFormat/>
    <w:uiPriority w:val="99"/>
    <w:rPr>
      <w:color w:val="000000"/>
    </w:rPr>
    <w:tblPr>
      <w:tblBorders>
        <w:top w:val="single" w:color="000000" w:sz="4" w:space="0"/>
        <w:bottom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清单表 6 彩色1"/>
    <w:autoRedefine/>
    <w:qFormat/>
    <w:uiPriority w:val="99"/>
    <w:rPr>
      <w:color w:val="000000"/>
    </w:rPr>
    <w:tblPr>
      <w:tblBorders>
        <w:top w:val="single" w:color="000000" w:sz="4" w:space="0"/>
        <w:bottom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9">
    <w:name w:val="List Paragraph"/>
    <w:basedOn w:val="1"/>
    <w:autoRedefine/>
    <w:qFormat/>
    <w:uiPriority w:val="34"/>
    <w:pPr>
      <w:ind w:firstLine="420" w:firstLineChars="200"/>
    </w:pPr>
    <w:rPr>
      <w:kern w:val="2"/>
    </w:rPr>
  </w:style>
  <w:style w:type="character" w:customStyle="1" w:styleId="50">
    <w:name w:val="short_text"/>
    <w:autoRedefine/>
    <w:qFormat/>
    <w:uiPriority w:val="0"/>
  </w:style>
  <w:style w:type="character" w:customStyle="1" w:styleId="51">
    <w:name w:val="Intense Emphasis"/>
    <w:basedOn w:val="16"/>
    <w:autoRedefine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2">
    <w:name w:val="Subtle Emphasis"/>
    <w:basedOn w:val="16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53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54">
    <w:name w:val="WPSOffice手动目录 2"/>
    <w:autoRedefine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55">
    <w:name w:val="font51"/>
    <w:basedOn w:val="16"/>
    <w:autoRedefine/>
    <w:qFormat/>
    <w:uiPriority w:val="0"/>
    <w:rPr>
      <w:rFonts w:hint="default" w:ascii="Times New Roman" w:hAnsi="Times New Roman" w:cs="Times New Roman"/>
      <w:b/>
      <w:bCs/>
      <w:color w:val="000000"/>
      <w:sz w:val="40"/>
      <w:szCs w:val="40"/>
      <w:u w:val="none"/>
    </w:rPr>
  </w:style>
  <w:style w:type="character" w:customStyle="1" w:styleId="56">
    <w:name w:val="font41"/>
    <w:basedOn w:val="16"/>
    <w:autoRedefine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57">
    <w:name w:val="font01"/>
    <w:basedOn w:val="1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8">
    <w:name w:val="font61"/>
    <w:basedOn w:val="16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59">
    <w:name w:val="表格"/>
    <w:basedOn w:val="1"/>
    <w:autoRedefine/>
    <w:qFormat/>
    <w:uiPriority w:val="0"/>
    <w:pPr>
      <w:spacing w:line="380" w:lineRule="exact"/>
      <w:ind w:firstLine="0" w:firstLineChars="0"/>
      <w:jc w:val="center"/>
    </w:pPr>
    <w:rPr>
      <w:rFonts w:cs="微软雅黑"/>
      <w:bCs/>
      <w:color w:val="000000"/>
      <w:sz w:val="21"/>
      <w:szCs w:val="21"/>
    </w:rPr>
  </w:style>
  <w:style w:type="character" w:customStyle="1" w:styleId="60">
    <w:name w:val="无"/>
    <w:autoRedefine/>
    <w:qFormat/>
    <w:uiPriority w:val="0"/>
  </w:style>
  <w:style w:type="paragraph" w:customStyle="1" w:styleId="61">
    <w:name w:val="TOC Heading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E90374-E58C-4F95-944D-07E27B73D6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1563</Words>
  <Characters>2226</Characters>
  <Lines>26</Lines>
  <Paragraphs>7</Paragraphs>
  <TotalTime>1</TotalTime>
  <ScaleCrop>false</ScaleCrop>
  <LinksUpToDate>false</LinksUpToDate>
  <CharactersWithSpaces>2292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2019-11-28T08:42:00Z</dcterms:created>
  <dc:creator>hmz</dc:creator>
  <cp:lastModifiedBy>謉媿</cp:lastModifiedBy>
  <cp:lastPrinted>2016-09-28T07:20:00Z</cp:lastPrinted>
  <dcterms:modified xsi:type="dcterms:W3CDTF">2024-09-09T09:46:45Z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CBC85FEA5DBB4C2BB1A493A03E0125CC_13</vt:lpwstr>
  </property>
</Properties>
</file>