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-957580</wp:posOffset>
            </wp:positionV>
            <wp:extent cx="7582535" cy="10892790"/>
            <wp:effectExtent l="0" t="0" r="12065" b="3810"/>
            <wp:wrapNone/>
            <wp:docPr id="1124762539" name="图片 1124762539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62539" name="图片 1124762539" descr="画板 1@2x-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632460</wp:posOffset>
            </wp:positionV>
            <wp:extent cx="2579370" cy="530225"/>
            <wp:effectExtent l="0" t="0" r="11430" b="3175"/>
            <wp:wrapTopAndBottom/>
            <wp:docPr id="1172160543" name="图片 1172160543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0543" name="图片 1172160543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insoku/>
        <w:wordWrap/>
        <w:overflowPunct/>
        <w:topLinePunct w:val="0"/>
        <w:bidi w:val="0"/>
        <w:spacing w:before="240" w:beforeLines="10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bookmarkStart w:id="0" w:name="_Toc468962812"/>
      <w:bookmarkEnd w:id="0"/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4110990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6pt;margin-top:323.7pt;height:72pt;width:303.3pt;z-index:251667456;mso-width-relative:page;mso-height-relative:page;" filled="f" stroked="f" coordsize="21600,21600" o:gfxdata="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gU2T92wAA&#10;AAs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6440805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55pt;margin-top:507.15pt;height:224pt;width:595pt;z-index:251668480;v-text-anchor:middle;mso-width-relative:page;mso-height-relative:page;" filled="f" stroked="f" coordsize="21600,21600" o:gfxdata="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9o+&#10;mN4AAAAPAQAADwAAAAAAAAABACAAAAAiAAAAZHJzL2Rvd25yZXYueG1sUEsBAhQAFAAAAAgAh07i&#10;QPl3FS5VAgAAmgQAAA4AAAAAAAAAAQAgAAAALQ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1541145</wp:posOffset>
                </wp:positionV>
                <wp:extent cx="7553960" cy="212280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212280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流式EdU检测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2pt;margin-top:121.35pt;height:167.15pt;width:594.8pt;z-index:251666432;mso-width-relative:page;mso-height-relative:page;" filled="f" stroked="f" coordsize="21600,21600" o:gfxdata="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gr&#10;d9jdAAAADQEAAA8AAAAAAAAAAQAgAAAAIgAAAGRycy9kb3ducmV2LnhtbFBLAQIUABQAAAAIAIdO&#10;4kBoEiOUVwIAAJgEAAAOAAAAAAAAAAEAIAAAACw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流式EdU检测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sz w:val="24"/>
          <w:szCs w:val="24"/>
        </w:rPr>
        <w:br w:type="page"/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尊敬的客户：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120" w:firstLineChars="5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您好！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color w:val="000000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color w:val="000000"/>
          <w:sz w:val="24"/>
          <w:szCs w:val="24"/>
        </w:rPr>
        <w:t>成都奥创生物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before="240" w:beforeLines="100" w:after="100" w:afterAutospacing="1" w:line="360" w:lineRule="auto"/>
        <w:ind w:left="363" w:hanging="363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整体项目平台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核酸研究平台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蛋白与免疫平台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服务项目：Western blot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IP/COIP检测</w:t>
      </w:r>
      <w:r>
        <w:rPr>
          <w:rFonts w:hint="default" w:ascii="Times New Roman" w:hAnsi="Times New Roman" w:eastAsia="宋体" w:cs="Times New Roman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细胞研究平台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病毒包装平台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病理染色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服务项目：各类切片及染色服务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电镜检测</w:t>
      </w:r>
      <w:r>
        <w:rPr>
          <w:rFonts w:hint="default" w:ascii="Times New Roman" w:hAnsi="Times New Roman" w:eastAsia="宋体" w:cs="Times New Roman"/>
          <w:sz w:val="24"/>
          <w:szCs w:val="24"/>
        </w:rPr>
        <w:t>，免疫荧光，免疫组化，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tunel，</w:t>
      </w:r>
      <w:r>
        <w:rPr>
          <w:rFonts w:hint="default" w:ascii="Times New Roman" w:hAnsi="Times New Roman" w:eastAsia="宋体" w:cs="Times New Roman"/>
          <w:sz w:val="24"/>
          <w:szCs w:val="24"/>
        </w:rPr>
        <w:t>原位杂交染色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全景扫描，分析阅片</w:t>
      </w:r>
      <w:r>
        <w:rPr>
          <w:rFonts w:hint="default" w:ascii="Times New Roman" w:hAnsi="Times New Roman" w:eastAsia="宋体" w:cs="Times New Roman"/>
          <w:sz w:val="24"/>
          <w:szCs w:val="24"/>
        </w:rPr>
        <w:t>等。</w:t>
      </w:r>
    </w:p>
    <w:p>
      <w:pPr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动物模型平台：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服务项目：常见疾病动物模型及肿瘤模型构建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hint="default" w:ascii="Times New Roman" w:hAnsi="Times New Roman" w:eastAsia="宋体" w:cs="Times New Roman"/>
          <w:sz w:val="24"/>
          <w:szCs w:val="24"/>
        </w:rPr>
        <w:t>。</w:t>
      </w:r>
    </w:p>
    <w:p>
      <w:pPr>
        <w:pStyle w:val="50"/>
        <w:kinsoku/>
        <w:wordWrap/>
        <w:overflowPunct/>
        <w:topLinePunct w:val="0"/>
        <w:bidi w:val="0"/>
        <w:spacing w:after="100" w:afterAutospacing="1" w:line="360" w:lineRule="auto"/>
        <w:ind w:left="420" w:firstLine="0" w:firstLineChars="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u w:val="single"/>
        </w:rPr>
        <w:t xml:space="preserve">我们的服务承诺：  </w:t>
      </w:r>
      <w:r>
        <w:rPr>
          <w:rFonts w:hint="default" w:ascii="Times New Roman" w:hAnsi="Times New Roman" w:eastAsia="宋体" w:cs="Times New Roman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唯一 </w:t>
      </w:r>
      <w:r>
        <w:rPr>
          <w:rFonts w:hint="default" w:ascii="Times New Roman" w:hAnsi="Times New Roman" w:eastAsia="宋体" w:cs="Times New Roman"/>
          <w:color w:val="E46C0A" w:themeColor="accent6" w:themeShade="BF"/>
          <w:sz w:val="24"/>
          <w:szCs w:val="24"/>
        </w:rPr>
        <w:t xml:space="preserve"> █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真实  </w:t>
      </w:r>
      <w:r>
        <w:rPr>
          <w:rFonts w:hint="default" w:ascii="Times New Roman" w:hAnsi="Times New Roman" w:eastAsia="宋体" w:cs="Times New Roman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专业  </w:t>
      </w:r>
      <w:r>
        <w:rPr>
          <w:rFonts w:hint="default" w:ascii="Times New Roman" w:hAnsi="Times New Roman" w:eastAsia="宋体" w:cs="Times New Roman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eastAsia="宋体" w:cs="Times New Roman"/>
          <w:sz w:val="24"/>
          <w:szCs w:val="24"/>
        </w:rPr>
        <w:t>效率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360" w:firstLineChars="150"/>
        <w:contextualSpacing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br w:type="page"/>
      </w:r>
    </w:p>
    <w:p>
      <w:pPr>
        <w:pStyle w:val="3"/>
        <w:kinsoku/>
        <w:wordWrap/>
        <w:overflowPunct/>
        <w:topLinePunct w:val="0"/>
        <w:bidi w:val="0"/>
        <w:spacing w:before="120" w:beforeLines="50" w:after="120" w:afterLines="50" w:line="360" w:lineRule="auto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bookmarkStart w:id="1" w:name="_Toc3116"/>
      <w:bookmarkStart w:id="2" w:name="_Toc288"/>
      <w:r>
        <w:rPr>
          <w:rFonts w:hint="default" w:ascii="Times New Roman" w:hAnsi="Times New Roman" w:eastAsia="宋体" w:cs="Times New Roman"/>
          <w:sz w:val="28"/>
          <w:szCs w:val="28"/>
        </w:rPr>
        <w:t>声明</w:t>
      </w:r>
      <w:bookmarkEnd w:id="1"/>
      <w:bookmarkEnd w:id="2"/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rPr>
          <w:rFonts w:hint="default" w:ascii="Times New Roman" w:hAnsi="Times New Roman" w:eastAsia="宋体" w:cs="Times New Roman"/>
        </w:rPr>
      </w:pP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为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保证独立、客观、公正地从事检验检测工作，</w:t>
      </w:r>
      <w:r>
        <w:rPr>
          <w:rFonts w:hint="default" w:ascii="Times New Roman" w:hAnsi="Times New Roman" w:eastAsia="宋体" w:cs="Times New Roman"/>
          <w:sz w:val="24"/>
          <w:szCs w:val="24"/>
        </w:rPr>
        <w:t>提高服务质量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。现以奥创生物名义，</w:t>
      </w:r>
      <w:r>
        <w:rPr>
          <w:rFonts w:hint="default" w:ascii="Times New Roman" w:hAnsi="Times New Roman" w:eastAsia="宋体" w:cs="Times New Roman"/>
          <w:sz w:val="24"/>
          <w:szCs w:val="24"/>
        </w:rPr>
        <w:t>向社会各界和客户作如下声明，并接受有关单位和客户的监督。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</w:rPr>
        <w:t>2、公司</w:t>
      </w:r>
      <w:r>
        <w:rPr>
          <w:rFonts w:hint="default" w:ascii="Times New Roman" w:hAnsi="Times New Roman" w:eastAsia="宋体" w:cs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3、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、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5、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</w:rPr>
        <w:t>以上声明，本公司全体人员必须严格遵守。</w:t>
      </w:r>
    </w:p>
    <w:p>
      <w:pPr>
        <w:kinsoku/>
        <w:wordWrap/>
        <w:overflowPunct/>
        <w:topLinePunct w:val="0"/>
        <w:bidi w:val="0"/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jc w:val="righ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成都奥创生物科技有限公司</w:t>
      </w:r>
    </w:p>
    <w:p>
      <w:pPr>
        <w:widowControl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br w:type="page"/>
      </w:r>
    </w:p>
    <w:p>
      <w:pPr>
        <w:kinsoku/>
        <w:wordWrap/>
        <w:overflowPunct/>
        <w:topLinePunct w:val="0"/>
        <w:bidi w:val="0"/>
        <w:spacing w:before="240" w:beforeLines="10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</w:p>
    <w:sdt>
      <w:sdtPr>
        <w:rPr>
          <w:rFonts w:hint="default" w:ascii="Times New Roman" w:hAnsi="Times New Roman" w:eastAsia="宋体" w:cs="Times New Roman"/>
          <w:color w:val="auto"/>
          <w:kern w:val="1"/>
          <w:sz w:val="21"/>
          <w:szCs w:val="22"/>
          <w:lang w:val="zh-CN"/>
        </w:rPr>
        <w:id w:val="43803620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57"/>
            <w:kinsoku/>
            <w:wordWrap/>
            <w:overflowPunct/>
            <w:topLinePunct w:val="0"/>
            <w:bidi w:val="0"/>
            <w:spacing w:line="360" w:lineRule="auto"/>
            <w:jc w:val="center"/>
            <w:rPr>
              <w:rFonts w:hint="default" w:ascii="Times New Roman" w:hAnsi="Times New Roman" w:eastAsia="宋体" w:cs="Times New Roman"/>
              <w:color w:val="auto"/>
              <w:sz w:val="44"/>
              <w:szCs w:val="44"/>
            </w:rPr>
          </w:pPr>
          <w:bookmarkStart w:id="3" w:name="_Toc27944"/>
          <w:bookmarkStart w:id="4" w:name="_Toc25695"/>
          <w:r>
            <w:rPr>
              <w:rFonts w:hint="default" w:ascii="Times New Roman" w:hAnsi="Times New Roman" w:eastAsia="宋体" w:cs="Times New Roman"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TOC \o "1-3" \h \z \u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_Toc288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8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_Toc288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_Toc25702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 xml:space="preserve">一、 </w:t>
          </w:r>
          <w:r>
            <w:rPr>
              <w:rFonts w:hint="default" w:ascii="Times New Roman" w:hAnsi="Times New Roman" w:eastAsia="宋体" w:cs="Times New Roman"/>
            </w:rPr>
            <w:t>实验仪器</w:t>
          </w:r>
          <w:r>
            <w:tab/>
          </w:r>
          <w:r>
            <w:fldChar w:fldCharType="begin"/>
          </w:r>
          <w:r>
            <w:instrText xml:space="preserve"> PAGEREF _Toc25702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_Toc21712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 xml:space="preserve">二、 </w:t>
          </w:r>
          <w:r>
            <w:rPr>
              <w:rFonts w:hint="default" w:ascii="Times New Roman" w:hAnsi="Times New Roman" w:eastAsia="宋体" w:cs="Times New Roman"/>
            </w:rPr>
            <w:t>试剂与耗材</w:t>
          </w:r>
          <w:r>
            <w:tab/>
          </w:r>
          <w:r>
            <w:fldChar w:fldCharType="begin"/>
          </w:r>
          <w:r>
            <w:instrText xml:space="preserve"> PAGEREF _Toc21712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_Toc30161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 xml:space="preserve">三、 </w:t>
          </w:r>
          <w:r>
            <w:rPr>
              <w:rFonts w:hint="default" w:ascii="Times New Roman" w:hAnsi="Times New Roman" w:eastAsia="宋体" w:cs="Times New Roman"/>
            </w:rPr>
            <w:t>实验步骤</w:t>
          </w:r>
          <w:r>
            <w:tab/>
          </w:r>
          <w:r>
            <w:fldChar w:fldCharType="begin"/>
          </w:r>
          <w:r>
            <w:instrText xml:space="preserve"> PAGEREF _Toc30161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_Toc14661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  <w:szCs w:val="32"/>
            </w:rPr>
            <w:t xml:space="preserve">1. </w:t>
          </w:r>
          <w:r>
            <w:rPr>
              <w:rFonts w:hint="default" w:ascii="Times New Roman" w:hAnsi="Times New Roman" w:cs="Times New Roman" w:eastAsiaTheme="minorEastAsia"/>
              <w:szCs w:val="32"/>
            </w:rPr>
            <w:t>样本前处理</w:t>
          </w:r>
          <w:r>
            <w:tab/>
          </w:r>
          <w:r>
            <w:fldChar w:fldCharType="begin"/>
          </w:r>
          <w:r>
            <w:instrText xml:space="preserve"> PAGEREF _Toc14661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_Toc17395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  <w:szCs w:val="32"/>
              <w:lang w:val="en-US" w:eastAsia="zh-CN"/>
            </w:rPr>
            <w:t>2</w:t>
          </w:r>
          <w:r>
            <w:rPr>
              <w:rFonts w:hint="default" w:ascii="Times New Roman" w:hAnsi="Times New Roman" w:cs="Times New Roman" w:eastAsiaTheme="minorEastAsia"/>
              <w:szCs w:val="32"/>
            </w:rPr>
            <w:t>、</w:t>
          </w:r>
          <w:r>
            <w:rPr>
              <w:rFonts w:hint="default" w:ascii="Times New Roman" w:hAnsi="Times New Roman" w:cs="Times New Roman" w:eastAsiaTheme="minorEastAsia"/>
              <w:szCs w:val="32"/>
              <w:lang w:val="en-US" w:eastAsia="zh-CN"/>
            </w:rPr>
            <w:t>细胞</w:t>
          </w:r>
          <w:r>
            <w:rPr>
              <w:rFonts w:hint="default" w:ascii="Times New Roman" w:hAnsi="Times New Roman" w:cs="Times New Roman" w:eastAsiaTheme="minorEastAsia"/>
              <w:szCs w:val="32"/>
            </w:rPr>
            <w:t>固定与通透</w:t>
          </w:r>
          <w:r>
            <w:tab/>
          </w:r>
          <w:r>
            <w:fldChar w:fldCharType="begin"/>
          </w:r>
          <w:r>
            <w:instrText xml:space="preserve"> PAGEREF _Toc17395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_Toc2939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  <w:szCs w:val="32"/>
              <w:lang w:val="en-US" w:eastAsia="zh-CN"/>
            </w:rPr>
            <w:t>3、细胞染色上机</w:t>
          </w:r>
          <w:r>
            <w:tab/>
          </w:r>
          <w:r>
            <w:fldChar w:fldCharType="begin"/>
          </w:r>
          <w:r>
            <w:instrText xml:space="preserve"> PAGEREF _Toc2939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_Toc2587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四、实验结果</w:t>
          </w:r>
          <w:r>
            <w:tab/>
          </w:r>
          <w:r>
            <w:fldChar w:fldCharType="begin"/>
          </w:r>
          <w:r>
            <w:instrText xml:space="preserve"> PAGEREF _Toc2587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_Toc10944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24"/>
            </w:rPr>
            <w:t xml:space="preserve">（一） </w: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en-US" w:eastAsia="zh-CN"/>
            </w:rPr>
            <w:t>图片</w:t>
          </w:r>
          <w:r>
            <w:rPr>
              <w:rFonts w:hint="default" w:ascii="Times New Roman" w:hAnsi="Times New Roman" w:eastAsia="宋体" w:cs="Times New Roman"/>
              <w:bCs/>
              <w:szCs w:val="24"/>
            </w:rPr>
            <w:t>结果分析举例</w:t>
          </w:r>
          <w:r>
            <w:tab/>
          </w:r>
          <w:r>
            <w:fldChar w:fldCharType="begin"/>
          </w:r>
          <w:r>
            <w:instrText xml:space="preserve"> PAGEREF _Toc10944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instrText xml:space="preserve"> HYPERLINK \l _Toc24245 </w:instrTex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24"/>
            </w:rPr>
            <w:t xml:space="preserve">（二） </w:t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en-US" w:eastAsia="zh-CN"/>
            </w:rPr>
            <w:t>统计</w:t>
          </w:r>
          <w:r>
            <w:rPr>
              <w:rFonts w:hint="default" w:ascii="Times New Roman" w:hAnsi="Times New Roman" w:eastAsia="宋体" w:cs="Times New Roman"/>
              <w:bCs/>
              <w:szCs w:val="24"/>
            </w:rPr>
            <w:t>结果分析举例</w:t>
          </w:r>
          <w:r>
            <w:tab/>
          </w:r>
          <w:r>
            <w:fldChar w:fldCharType="begin"/>
          </w:r>
          <w:r>
            <w:instrText xml:space="preserve"> PAGEREF _Toc24245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</w:p>
        <w:p>
          <w:pPr>
            <w:kinsoku/>
            <w:wordWrap/>
            <w:overflowPunct/>
            <w:topLinePunct w:val="0"/>
            <w:bidi w:val="0"/>
            <w:spacing w:line="360" w:lineRule="auto"/>
            <w:rPr>
              <w:rFonts w:hint="default" w:ascii="Times New Roman" w:hAnsi="Times New Roman" w:eastAsia="宋体" w:cs="Times New Roman"/>
              <w:b/>
              <w:sz w:val="36"/>
              <w:szCs w:val="36"/>
            </w:rPr>
          </w:pPr>
          <w:r>
            <w:rPr>
              <w:rFonts w:hint="default" w:ascii="Times New Roman" w:hAnsi="Times New Roman" w:eastAsia="宋体" w:cs="Times New Roman"/>
              <w:bCs/>
              <w:szCs w:val="24"/>
              <w:lang w:val="zh-CN"/>
            </w:rPr>
            <w:fldChar w:fldCharType="end"/>
          </w:r>
          <w:bookmarkStart w:id="49" w:name="_GoBack"/>
          <w:bookmarkEnd w:id="49"/>
        </w:p>
      </w:sdtContent>
    </w:sdt>
    <w:p>
      <w:pPr>
        <w:pStyle w:val="2"/>
        <w:keepNext/>
        <w:keepLines/>
        <w:pageBreakBefore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</w:rPr>
      </w:pPr>
      <w:bookmarkStart w:id="5" w:name="_Toc25702"/>
      <w:r>
        <w:rPr>
          <w:rFonts w:hint="default" w:ascii="Times New Roman" w:hAnsi="Times New Roman" w:eastAsia="宋体" w:cs="Times New Roman"/>
        </w:rPr>
        <w:t>实验仪器</w:t>
      </w:r>
      <w:bookmarkEnd w:id="3"/>
      <w:bookmarkEnd w:id="4"/>
      <w:bookmarkEnd w:id="5"/>
    </w:p>
    <w:tbl>
      <w:tblPr>
        <w:tblStyle w:val="15"/>
        <w:tblW w:w="9258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2"/>
        <w:gridCol w:w="3136"/>
        <w:gridCol w:w="2610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512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136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二氧化碳培养箱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流式细胞仪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FongCy C2080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净化工作台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尚光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1FD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SciloEGX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L-CM-4019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涡旋混合器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MV-100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12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手动移液枪</w:t>
            </w:r>
          </w:p>
        </w:tc>
        <w:tc>
          <w:tcPr>
            <w:tcW w:w="3136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Thermo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4640060</w:t>
            </w:r>
          </w:p>
        </w:tc>
      </w:tr>
    </w:tbl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</w:rPr>
      </w:pPr>
      <w:bookmarkStart w:id="6" w:name="_Toc475364643"/>
      <w:bookmarkEnd w:id="6"/>
      <w:bookmarkStart w:id="7" w:name="_Toc457908950"/>
      <w:bookmarkEnd w:id="7"/>
      <w:bookmarkStart w:id="8" w:name="_Toc457909480"/>
      <w:bookmarkEnd w:id="8"/>
      <w:bookmarkStart w:id="9" w:name="_Toc9766"/>
      <w:bookmarkStart w:id="10" w:name="_Toc28846"/>
      <w:bookmarkStart w:id="11" w:name="_Toc21712"/>
      <w:r>
        <w:rPr>
          <w:rFonts w:hint="default" w:ascii="Times New Roman" w:hAnsi="Times New Roman" w:eastAsia="宋体" w:cs="Times New Roman"/>
        </w:rPr>
        <w:t>试剂与耗材</w:t>
      </w:r>
      <w:bookmarkEnd w:id="9"/>
      <w:bookmarkEnd w:id="10"/>
      <w:bookmarkEnd w:id="11"/>
      <w:bookmarkStart w:id="12" w:name="_Toc457909481"/>
      <w:bookmarkEnd w:id="12"/>
      <w:bookmarkStart w:id="13" w:name="_Toc457908951"/>
      <w:bookmarkEnd w:id="13"/>
      <w:bookmarkStart w:id="14" w:name="_Toc2940"/>
      <w:bookmarkStart w:id="15" w:name="_Toc9399"/>
    </w:p>
    <w:tbl>
      <w:tblPr>
        <w:tblStyle w:val="15"/>
        <w:tblW w:w="4864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2"/>
        <w:gridCol w:w="3137"/>
        <w:gridCol w:w="262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tcBorders>
              <w:bottom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试剂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与耗材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1690" w:type="pct"/>
            <w:tcBorders>
              <w:bottom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before="120" w:beforeLines="50" w:after="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EdU细胞增殖流式检测试剂盒</w:t>
            </w:r>
          </w:p>
        </w:tc>
        <w:tc>
          <w:tcPr>
            <w:tcW w:w="1690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Elabscience</w:t>
            </w:r>
          </w:p>
        </w:tc>
        <w:tc>
          <w:tcPr>
            <w:tcW w:w="1416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E-CK-A370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1690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bookmarkStart w:id="16" w:name="OLE_LINK1"/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Biosharp</w:t>
            </w:r>
            <w:bookmarkEnd w:id="16"/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bookmarkStart w:id="17" w:name="OLE_LINK2"/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BL316A</w:t>
            </w:r>
            <w:bookmarkEnd w:id="17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4%多聚甲醛</w:t>
            </w:r>
          </w:p>
        </w:tc>
        <w:tc>
          <w:tcPr>
            <w:tcW w:w="1690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BL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539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离心管</w:t>
            </w:r>
          </w:p>
        </w:tc>
        <w:tc>
          <w:tcPr>
            <w:tcW w:w="1690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LABSELECT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CT-012-15A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bookmarkStart w:id="18" w:name="OLE_LINK3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Triton X-100</w:t>
            </w:r>
            <w:bookmarkEnd w:id="18"/>
          </w:p>
        </w:tc>
        <w:tc>
          <w:tcPr>
            <w:tcW w:w="1690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BS-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084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2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牛血清蛋白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BSA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690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Aladdin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B265993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</w:rPr>
      </w:pPr>
      <w:bookmarkStart w:id="19" w:name="_Toc30161"/>
      <w:r>
        <w:rPr>
          <w:rFonts w:hint="default" w:ascii="Times New Roman" w:hAnsi="Times New Roman" w:eastAsia="宋体" w:cs="Times New Roman"/>
        </w:rPr>
        <w:t>实验步骤</w:t>
      </w:r>
      <w:bookmarkEnd w:id="19"/>
    </w:p>
    <w:p>
      <w:pPr>
        <w:pStyle w:val="3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0"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32"/>
          <w:szCs w:val="32"/>
        </w:rPr>
      </w:pPr>
      <w:bookmarkStart w:id="20" w:name="_Toc22765"/>
      <w:bookmarkStart w:id="21" w:name="_Toc14661"/>
      <w:r>
        <w:rPr>
          <w:rFonts w:hint="default" w:ascii="Times New Roman" w:hAnsi="Times New Roman" w:cs="Times New Roman" w:eastAsiaTheme="minorEastAsia"/>
          <w:sz w:val="32"/>
          <w:szCs w:val="32"/>
        </w:rPr>
        <w:t>样本前处理</w:t>
      </w:r>
      <w:bookmarkEnd w:id="20"/>
      <w:bookmarkEnd w:id="21"/>
    </w:p>
    <w:p>
      <w:pPr>
        <w:numPr>
          <w:ilvl w:val="0"/>
          <w:numId w:val="6"/>
        </w:num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 w:eastAsiaTheme="minorEastAsia"/>
          <w:sz w:val="24"/>
          <w:szCs w:val="28"/>
        </w:rPr>
      </w:pPr>
      <w:bookmarkStart w:id="22" w:name="_Toc15159"/>
      <w:r>
        <w:rPr>
          <w:rFonts w:hint="default" w:ascii="Times New Roman" w:hAnsi="Times New Roman" w:cs="Times New Roman" w:eastAsiaTheme="minorEastAsia"/>
          <w:sz w:val="24"/>
          <w:szCs w:val="28"/>
        </w:rPr>
        <w:t>细胞</w:t>
      </w:r>
      <w:bookmarkEnd w:id="22"/>
      <w:r>
        <w:rPr>
          <w:rFonts w:hint="default" w:ascii="Times New Roman" w:hAnsi="Times New Roman" w:cs="Times New Roman" w:eastAsiaTheme="minorEastAsia"/>
          <w:sz w:val="24"/>
          <w:szCs w:val="28"/>
          <w:lang w:val="en-US" w:eastAsia="zh-CN"/>
        </w:rPr>
        <w:t>培养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bookmarkStart w:id="23" w:name="_Toc7190"/>
      <w:r>
        <w:rPr>
          <w:rFonts w:hint="default" w:ascii="Times New Roman" w:hAnsi="Times New Roman" w:eastAsia="宋体" w:cs="Times New Roman"/>
          <w:sz w:val="24"/>
          <w:szCs w:val="24"/>
        </w:rPr>
        <w:t>贴壁细胞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bookmarkStart w:id="24" w:name="OLE_LINK18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显微镜下观察培养瓶中细胞密度和状态，</w:t>
      </w:r>
      <w:bookmarkEnd w:id="24"/>
      <w:bookmarkStart w:id="25" w:name="OLE_LINK19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取处于对数生长期的细胞，</w:t>
      </w:r>
      <w:bookmarkEnd w:id="25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根据细胞特性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将细胞用胰酶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消化成单细胞悬液并计数，</w:t>
      </w:r>
      <w:bookmarkStart w:id="26" w:name="OLE_LINK21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按照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2~3*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个细胞/孔接种于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孔培养板，</w:t>
      </w:r>
      <w:bookmarkStart w:id="27" w:name="OLE_LINK20"/>
      <w:r>
        <w:rPr>
          <w:rFonts w:hint="default" w:ascii="Times New Roman" w:hAnsi="Times New Roman" w:cs="Times New Roman"/>
          <w:sz w:val="24"/>
          <w:szCs w:val="24"/>
        </w:rPr>
        <w:t>37℃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5% 培养箱中</w:t>
      </w:r>
      <w:bookmarkEnd w:id="27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培养过夜</w:t>
      </w:r>
      <w:bookmarkEnd w:id="26"/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悬浮细胞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显微镜下观察培养瓶中细胞密度和状态，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取处于对数生长期的细胞，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收集并计数，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按照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2~3*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个细胞/孔接种于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孔培养板，</w:t>
      </w:r>
      <w:r>
        <w:rPr>
          <w:rFonts w:hint="default" w:ascii="Times New Roman" w:hAnsi="Times New Roman" w:cs="Times New Roman"/>
          <w:sz w:val="24"/>
          <w:szCs w:val="24"/>
        </w:rPr>
        <w:t>37℃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5% 培养箱中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培养过夜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bookmarkEnd w:id="23"/>
    <w:p>
      <w:pPr>
        <w:numPr>
          <w:ilvl w:val="0"/>
          <w:numId w:val="6"/>
        </w:num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 w:eastAsiaTheme="minorEastAsia"/>
          <w:sz w:val="24"/>
          <w:szCs w:val="28"/>
        </w:rPr>
      </w:pPr>
      <w:r>
        <w:rPr>
          <w:rFonts w:hint="default" w:ascii="Times New Roman" w:hAnsi="Times New Roman" w:cs="Times New Roman" w:eastAsiaTheme="minorEastAsia"/>
          <w:sz w:val="24"/>
          <w:szCs w:val="28"/>
        </w:rPr>
        <w:t>EdU 和细胞共培养</w:t>
      </w:r>
    </w:p>
    <w:p>
      <w:pPr>
        <w:numPr>
          <w:ilvl w:val="0"/>
          <w:numId w:val="7"/>
        </w:num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培养时间</w:t>
      </w:r>
      <w:r>
        <w:rPr>
          <w:rFonts w:hint="default" w:ascii="Times New Roman" w:hAnsi="Times New Roman" w:cs="Times New Roman"/>
          <w:sz w:val="24"/>
          <w:szCs w:val="24"/>
        </w:rPr>
        <w:t>向孔板加入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不同浓度</w:t>
      </w:r>
      <w:r>
        <w:rPr>
          <w:rFonts w:hint="default" w:ascii="Times New Roman" w:hAnsi="Times New Roman" w:eastAsia="宋体" w:cs="Times New Roman"/>
          <w:sz w:val="24"/>
          <w:szCs w:val="24"/>
        </w:rPr>
        <w:t>EdU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</w:rPr>
        <w:t>10 μM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>0 μM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0 μM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）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</w:rPr>
        <w:t>37℃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5%培养箱中培养不同时间（3h、6h）。</w:t>
      </w:r>
    </w:p>
    <w:p>
      <w:pPr>
        <w:numPr>
          <w:ilvl w:val="0"/>
          <w:numId w:val="7"/>
        </w:num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共培养后，细胞</w:t>
      </w:r>
      <w:r>
        <w:rPr>
          <w:rFonts w:hint="default" w:ascii="Times New Roman" w:hAnsi="Times New Roman" w:eastAsia="宋体" w:cs="Times New Roman"/>
          <w:sz w:val="24"/>
          <w:szCs w:val="24"/>
        </w:rPr>
        <w:t>用胰酶消化，制成细胞悬液，300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min，弃上清。</w:t>
      </w:r>
    </w:p>
    <w:p>
      <w:pPr>
        <w:numPr>
          <w:ilvl w:val="0"/>
          <w:numId w:val="6"/>
        </w:num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 w:eastAsiaTheme="minorEastAsia"/>
          <w:sz w:val="24"/>
          <w:szCs w:val="28"/>
        </w:rPr>
      </w:pPr>
      <w:r>
        <w:rPr>
          <w:rFonts w:hint="default" w:ascii="Times New Roman" w:hAnsi="Times New Roman" w:cs="Times New Roman" w:eastAsiaTheme="minorEastAsia"/>
          <w:sz w:val="24"/>
          <w:szCs w:val="28"/>
        </w:rPr>
        <w:t>细胞</w:t>
      </w:r>
      <w:r>
        <w:rPr>
          <w:rFonts w:hint="default" w:ascii="Times New Roman" w:hAnsi="Times New Roman" w:cs="Times New Roman" w:eastAsiaTheme="minorEastAsia"/>
          <w:sz w:val="24"/>
          <w:szCs w:val="28"/>
          <w:lang w:val="en-US" w:eastAsia="zh-CN"/>
        </w:rPr>
        <w:t>染色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0" w:line="360" w:lineRule="auto"/>
        <w:textAlignment w:val="auto"/>
        <w:rPr>
          <w:rFonts w:hint="default" w:ascii="Times New Roman" w:hAnsi="Times New Roman" w:cs="Times New Roman" w:eastAsiaTheme="minorEastAsia"/>
          <w:sz w:val="32"/>
          <w:szCs w:val="32"/>
        </w:rPr>
      </w:pPr>
      <w:bookmarkStart w:id="28" w:name="_Toc17395"/>
      <w: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sz w:val="32"/>
          <w:szCs w:val="32"/>
        </w:rPr>
        <w:t>、</w:t>
      </w:r>
      <w: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  <w:t>细胞</w:t>
      </w:r>
      <w:r>
        <w:rPr>
          <w:rFonts w:hint="default" w:ascii="Times New Roman" w:hAnsi="Times New Roman" w:cs="Times New Roman" w:eastAsiaTheme="minorEastAsia"/>
          <w:sz w:val="32"/>
          <w:szCs w:val="32"/>
        </w:rPr>
        <w:t>固定与通透</w:t>
      </w:r>
      <w:bookmarkEnd w:id="28"/>
    </w:p>
    <w:p>
      <w:pPr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使用量以 6 孔板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中细胞数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为参考，其他培养孔可根据实验需要进行适当调整。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加入 1 mL 含 1%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BSA 的 PBS 溶液重悬细胞，充分混匀后 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加入 1 mL 含 4%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多聚甲醛的 PBS 重悬细胞，充分混匀后室温避光孵育 15 min。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min，弃上清，加入 1 mL 含 1% BSA 的PBS 溶液重悬细胞，充分混匀300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此步骤重复一次。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加入 0.5 mL 含 1%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Triton X-100</w:t>
      </w:r>
      <w:r>
        <w:rPr>
          <w:rFonts w:hint="default" w:ascii="Times New Roman" w:hAnsi="Times New Roman" w:eastAsia="宋体" w:cs="Times New Roman"/>
          <w:sz w:val="24"/>
          <w:szCs w:val="24"/>
        </w:rPr>
        <w:t>的 PBS 溶液混匀，室温孵育20 min。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0" w:line="360" w:lineRule="auto"/>
        <w:textAlignment w:val="auto"/>
        <w:rPr>
          <w:rFonts w:hint="default" w:ascii="Times New Roman" w:hAnsi="Times New Roman" w:cs="Times New Roman" w:eastAsiaTheme="minorEastAsia"/>
          <w:sz w:val="32"/>
          <w:szCs w:val="32"/>
          <w:lang w:val="en-US"/>
        </w:rPr>
      </w:pPr>
      <w:bookmarkStart w:id="29" w:name="_Toc2939"/>
      <w: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  <w:t>3、细胞染色上机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本说明书按照六孔板每孔 500 μL 的反应体系加的 Click 反应液体积。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根据实验样本数，参考下表配制 Click 反应液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1293"/>
        <w:gridCol w:w="2207"/>
        <w:gridCol w:w="201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vMerge w:val="restart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bookmarkStart w:id="30" w:name="OLE_LINK17"/>
            <w:r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</w:rPr>
              <w:t>组分</w:t>
            </w:r>
          </w:p>
        </w:tc>
        <w:tc>
          <w:tcPr>
            <w:tcW w:w="5519" w:type="dxa"/>
            <w:gridSpan w:val="3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样本数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vMerge w:val="continue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07" w:type="dxa"/>
            <w:tcBorders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19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tcBorders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Click ReactionBuffer I</w:t>
            </w: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bookmarkStart w:id="31" w:name="OLE_LINK16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440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  <w:bookmarkEnd w:id="31"/>
          </w:p>
        </w:tc>
        <w:tc>
          <w:tcPr>
            <w:tcW w:w="2207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mL</w:t>
            </w:r>
          </w:p>
        </w:tc>
        <w:tc>
          <w:tcPr>
            <w:tcW w:w="2019" w:type="dxa"/>
            <w:tcBorders>
              <w:left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4.4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mL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CuSO4</w:t>
            </w:r>
          </w:p>
        </w:tc>
        <w:tc>
          <w:tcPr>
            <w:tcW w:w="1293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40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</w:p>
        </w:tc>
        <w:tc>
          <w:tcPr>
            <w:tcW w:w="2207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bookmarkStart w:id="32" w:name="OLE_LINK5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</w:t>
            </w:r>
            <w:bookmarkStart w:id="33" w:name="OLE_LINK8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00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  <w:bookmarkEnd w:id="32"/>
            <w:bookmarkEnd w:id="33"/>
          </w:p>
        </w:tc>
        <w:tc>
          <w:tcPr>
            <w:tcW w:w="2019" w:type="dxa"/>
            <w:tcBorders>
              <w:left w:val="nil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400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FITC Azide I 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bookmarkStart w:id="34" w:name="OLE_LINK7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μL</w:t>
            </w:r>
            <w:bookmarkEnd w:id="34"/>
          </w:p>
        </w:tc>
        <w:tc>
          <w:tcPr>
            <w:tcW w:w="2207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μL</w:t>
            </w:r>
          </w:p>
        </w:tc>
        <w:tc>
          <w:tcPr>
            <w:tcW w:w="2019" w:type="dxa"/>
            <w:tcBorders>
              <w:top w:val="single" w:color="auto" w:sz="4" w:space="0"/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μL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Click AdditiveSolution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 μL</w:t>
            </w:r>
          </w:p>
        </w:tc>
        <w:tc>
          <w:tcPr>
            <w:tcW w:w="2207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100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</w:p>
        </w:tc>
        <w:tc>
          <w:tcPr>
            <w:tcW w:w="2019" w:type="dxa"/>
            <w:tcBorders>
              <w:top w:val="single" w:color="auto" w:sz="4" w:space="0"/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bookmarkStart w:id="35" w:name="OLE_LINK6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200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μL</w:t>
            </w:r>
            <w:bookmarkEnd w:id="35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00" w:type="dxa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总体积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500 μL</w:t>
            </w:r>
          </w:p>
        </w:tc>
        <w:tc>
          <w:tcPr>
            <w:tcW w:w="2207" w:type="dxa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bookmarkStart w:id="36" w:name="OLE_LINK4"/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5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mL</w:t>
            </w:r>
            <w:bookmarkEnd w:id="36"/>
          </w:p>
        </w:tc>
        <w:tc>
          <w:tcPr>
            <w:tcW w:w="2019" w:type="dxa"/>
            <w:tcBorders>
              <w:top w:val="single" w:color="auto" w:sz="4" w:space="0"/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5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mL</w:t>
            </w:r>
          </w:p>
        </w:tc>
      </w:tr>
      <w:bookmarkEnd w:id="30"/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min，弃上清，每孔加入上述表格配制的500 μL 的 Click 反应液，混匀，室温避光孵育 30 min。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min，弃上清，每孔加入 1 mL 含 1%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Triton X-100</w:t>
      </w:r>
      <w:r>
        <w:rPr>
          <w:rFonts w:hint="default" w:ascii="Times New Roman" w:hAnsi="Times New Roman" w:eastAsia="宋体" w:cs="Times New Roman"/>
          <w:sz w:val="24"/>
          <w:szCs w:val="24"/>
        </w:rPr>
        <w:t>的 PBS 溶液混匀，300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g 离心 5 min，弃上清。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加入 200 μL 含 1% BSA 的 PBS 溶液混匀，上机检测。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line="360" w:lineRule="auto"/>
        <w:ind w:leftChars="0"/>
        <w:textAlignment w:val="auto"/>
        <w:rPr>
          <w:rFonts w:hint="default" w:ascii="Times New Roman" w:hAnsi="Times New Roman" w:eastAsia="宋体" w:cs="Times New Roman"/>
        </w:rPr>
      </w:pPr>
      <w:bookmarkStart w:id="37" w:name="_Toc2587"/>
      <w:r>
        <w:rPr>
          <w:rFonts w:hint="default" w:ascii="Times New Roman" w:hAnsi="Times New Roman" w:eastAsia="宋体" w:cs="Times New Roman"/>
        </w:rPr>
        <w:t>四、实验结果</w:t>
      </w:r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360" w:afterLines="150" w:line="360" w:lineRule="auto"/>
        <w:ind w:left="0" w:leftChars="0" w:firstLine="0" w:firstLineChars="0"/>
        <w:textAlignment w:val="auto"/>
        <w:outlineLvl w:val="1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38" w:name="_Toc10944"/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图片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结果分析举例</w:t>
      </w:r>
      <w:bookmarkEnd w:id="38"/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3"/>
        <w:gridCol w:w="5"/>
        <w:gridCol w:w="47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2" name="图片 2" descr="EDU测试8.8-blank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DU测试8.8-blank-Plot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11" name="图片 11" descr="EDU测试8.8-3h-1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DU测试8.8-3h-1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图一</w:t>
            </w:r>
          </w:p>
        </w:tc>
        <w:tc>
          <w:tcPr>
            <w:tcW w:w="477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10" name="图片 10" descr="EDU测试8.8-3h-2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DU测试8.8-3h-2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8" name="图片 8" descr="EDU测试8.8-3h-5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DU测试8.8-3h-5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图三</w:t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3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7" name="图片 7" descr="EDU测试8.8-6h-1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DU测试8.8-6h-1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5" name="图片 5" descr="EDU测试8.8-6h-2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DU测试8.8-6h-2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图五</w:t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62175" cy="2343150"/>
                  <wp:effectExtent l="0" t="0" r="9525" b="0"/>
                  <wp:docPr id="3" name="图片 3" descr="EDU测试8.8-6h-50μM-Plo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DU测试8.8-6h-50μM-Plot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39" w:name="OLE_LINK9"/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</w:t>
            </w:r>
            <w:bookmarkEnd w:id="39"/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七</w:t>
            </w:r>
          </w:p>
        </w:tc>
        <w:tc>
          <w:tcPr>
            <w:tcW w:w="4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4" w:hRule="atLeast"/>
        </w:trPr>
        <w:tc>
          <w:tcPr>
            <w:tcW w:w="953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430" w:beforeLines="150" w:after="360" w:afterLines="15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</w:rPr>
              <w:drawing>
                <wp:inline distT="0" distB="0" distL="114300" distR="114300">
                  <wp:extent cx="4565650" cy="2303780"/>
                  <wp:effectExtent l="0" t="0" r="635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53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图八</w:t>
            </w:r>
          </w:p>
        </w:tc>
      </w:tr>
      <w:bookmarkEnd w:id="14"/>
      <w:bookmarkEnd w:id="15"/>
    </w:tbl>
    <w:p>
      <w:pPr>
        <w:tabs>
          <w:tab w:val="left" w:pos="397"/>
        </w:tabs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图1：利用直方图（X:FITC-A;Y:Count）确定G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0.02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图2：利用直方图（X:FITC-A;Y:Count）确定G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25.79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图3：</w:t>
      </w:r>
      <w:bookmarkStart w:id="40" w:name="OLE_LINK10"/>
      <w:r>
        <w:rPr>
          <w:rFonts w:hint="default" w:ascii="Times New Roman" w:hAnsi="Times New Roman" w:eastAsia="宋体" w:cs="Times New Roman"/>
          <w:sz w:val="24"/>
          <w:szCs w:val="24"/>
        </w:rPr>
        <w:t>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36.76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  <w:bookmarkEnd w:id="40"/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28.36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35.90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</w:rPr>
        <w:t>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43.80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4"/>
          <w:szCs w:val="24"/>
        </w:rPr>
        <w:t>：利用直方图（X:FITC-A;Y:Count）确定G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门内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r>
        <w:rPr>
          <w:rFonts w:hint="default" w:ascii="Times New Roman" w:hAnsi="Times New Roman" w:eastAsia="宋体" w:cs="Times New Roman"/>
          <w:sz w:val="24"/>
          <w:szCs w:val="24"/>
        </w:rPr>
        <w:t>阳性细胞数: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31.42</w:t>
      </w:r>
      <w:r>
        <w:rPr>
          <w:rFonts w:hint="default" w:ascii="Times New Roman" w:hAnsi="Times New Roman" w:eastAsia="宋体" w:cs="Times New Roman"/>
          <w:sz w:val="24"/>
          <w:szCs w:val="24"/>
        </w:rPr>
        <w:t>%；在统计数据文件中G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-Mean值为阳性细胞强度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：通过所有样本的FSC-A/SSC-A以及FSC-A/FSC-H以及荧光通道直方图和所有的荧光通道直方叠加，Mean值为阳性强度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360" w:afterLines="150" w:line="360" w:lineRule="auto"/>
        <w:ind w:left="0" w:leftChars="0" w:firstLine="0" w:firstLineChars="0"/>
        <w:textAlignment w:val="auto"/>
        <w:outlineLvl w:val="1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41" w:name="_Toc13352"/>
      <w:bookmarkStart w:id="42" w:name="_Toc12056"/>
      <w:bookmarkStart w:id="43" w:name="_Toc24245"/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统计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结果分析举例</w:t>
      </w:r>
      <w:bookmarkEnd w:id="41"/>
      <w:bookmarkEnd w:id="42"/>
      <w:bookmarkEnd w:id="43"/>
    </w:p>
    <w:tbl>
      <w:tblPr>
        <w:tblStyle w:val="16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588"/>
        <w:gridCol w:w="1589"/>
        <w:gridCol w:w="1589"/>
        <w:gridCol w:w="1589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8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1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试管名称</w:t>
            </w:r>
          </w:p>
        </w:tc>
        <w:tc>
          <w:tcPr>
            <w:tcW w:w="15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 Parent%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 Parent%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 Parent%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bookmarkStart w:id="44" w:name="OLE_LINK13"/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</w:t>
            </w:r>
            <w:bookmarkEnd w:id="44"/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Parent%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G4 Mean BL1-A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blank</w:t>
            </w:r>
          </w:p>
        </w:tc>
        <w:tc>
          <w:tcPr>
            <w:tcW w:w="158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82.33%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63.38%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0.02%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3h-10μM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73.70%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63.55%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24.79%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25.79%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72104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3h-20μM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68.17%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61.54%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32.23%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36.76%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75543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3h-50μM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69.06%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61.48%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26.21%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28.36%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6h-10μM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71.40%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66.33%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33.51%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35.90%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6h-20μM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66.60%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64.95%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35.81%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43.80%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6h-50μM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81.62%</w:t>
            </w:r>
          </w:p>
        </w:tc>
        <w:tc>
          <w:tcPr>
            <w:tcW w:w="15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71.32%</w:t>
            </w:r>
          </w:p>
        </w:tc>
        <w:tc>
          <w:tcPr>
            <w:tcW w:w="15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30.12%</w:t>
            </w:r>
          </w:p>
        </w:tc>
        <w:tc>
          <w:tcPr>
            <w:tcW w:w="15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31.42%</w:t>
            </w:r>
          </w:p>
        </w:tc>
        <w:tc>
          <w:tcPr>
            <w:tcW w:w="15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66459</w:t>
            </w:r>
          </w:p>
        </w:tc>
      </w:tr>
    </w:tbl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例如</w:t>
      </w:r>
      <w:r>
        <w:rPr>
          <w:rFonts w:hint="default" w:ascii="Times New Roman" w:hAnsi="Times New Roman" w:eastAsia="宋体" w:cs="Times New Roman"/>
          <w:sz w:val="24"/>
          <w:szCs w:val="24"/>
        </w:rPr>
        <w:t>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在样本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blank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中，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G5 Parent%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为所研究的目的细胞，其细胞量为82.33%；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G2 Parent%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为排除</w:t>
      </w:r>
      <w:r>
        <w:rPr>
          <w:rFonts w:hint="default" w:ascii="Times New Roman" w:hAnsi="Times New Roman" w:eastAsia="宋体" w:cs="Times New Roman"/>
          <w:sz w:val="24"/>
          <w:szCs w:val="24"/>
        </w:rPr>
        <w:t>粘连细胞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的目的细胞，其</w:t>
      </w:r>
      <w:bookmarkStart w:id="45" w:name="OLE_LINK12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细胞量</w:t>
      </w:r>
      <w:bookmarkEnd w:id="45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为63.38%；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G3 Parent%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</w:t>
      </w:r>
      <w:bookmarkStart w:id="46" w:name="OLE_LINK15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bookmarkEnd w:id="46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增殖细胞数，其细胞量为0.02%；</w:t>
      </w:r>
      <w:bookmarkStart w:id="47" w:name="OLE_LINK11"/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G4 Parent%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为直方图中</w:t>
      </w:r>
      <w:bookmarkStart w:id="48" w:name="OLE_LINK14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EdU</w:t>
      </w:r>
      <w:bookmarkEnd w:id="48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增殖细胞数，其占比为0.02%；</w:t>
      </w:r>
      <w:bookmarkEnd w:id="47"/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G4 Mean BL1-A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为EdU平均荧光强度，其为25231。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tabs>
          <w:tab w:val="left" w:pos="397"/>
        </w:tabs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3360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  <w:r>
      <w:rPr>
        <w:sz w:val="18"/>
      </w:rPr>
      <w:t xml:space="preserve"> 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233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131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3992880</wp:posOffset>
              </wp:positionH>
              <wp:positionV relativeFrom="paragraph">
                <wp:posOffset>15240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4.4pt;margin-top:1.2pt;height:26.75pt;width:147pt;z-index:251665408;mso-width-relative:page;mso-height-relative:page;" fillcolor="#FFFFFF [3201]" filled="t" stroked="f" coordsize="21600,21600" o:gfxdata="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VK103UAAAACAEA&#10;AA8AAAAAAAAAAQAgAAAAIgAAAGRycy9kb3ducmV2LnhtbFBLAQIUABQAAAAIAIdO4kAAnT1EVwIA&#10;AJ8EAAAOAAAAAAAAAAEAIAAAACMBAABkcnMvZTJvRG9jLnhtbFBLBQYAAAAABgAGAFkBAADsBQAA&#10;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1728470" cy="319405"/>
          <wp:effectExtent l="0" t="0" r="24130" b="10795"/>
          <wp:docPr id="801225023" name="图片 801225023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225023" name="图片 801225023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97126086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26086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491159886" name="图片 491159886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159886" name="图片 491159886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3FF25B"/>
    <w:multiLevelType w:val="singleLevel"/>
    <w:tmpl w:val="A63FF25B"/>
    <w:lvl w:ilvl="0" w:tentative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abstractNum w:abstractNumId="1">
    <w:nsid w:val="B8ED4640"/>
    <w:multiLevelType w:val="singleLevel"/>
    <w:tmpl w:val="B8ED4640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D955040F"/>
    <w:multiLevelType w:val="singleLevel"/>
    <w:tmpl w:val="D955040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F53E1570"/>
    <w:multiLevelType w:val="singleLevel"/>
    <w:tmpl w:val="F53E157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F505C81"/>
    <w:multiLevelType w:val="singleLevel"/>
    <w:tmpl w:val="FF505C8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02FF8CC8"/>
    <w:multiLevelType w:val="singleLevel"/>
    <w:tmpl w:val="02FF8CC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7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CCBDA1F"/>
    <w:multiLevelType w:val="singleLevel"/>
    <w:tmpl w:val="4CCBDA1F"/>
    <w:lvl w:ilvl="0" w:tentative="0">
      <w:start w:val="1"/>
      <w:numFmt w:val="decimal"/>
      <w:suff w:val="space"/>
      <w:lvlText w:val="%1)"/>
      <w:lvlJc w:val="left"/>
    </w:lvl>
  </w:abstractNum>
  <w:abstractNum w:abstractNumId="9">
    <w:nsid w:val="783D1477"/>
    <w:multiLevelType w:val="singleLevel"/>
    <w:tmpl w:val="783D147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6DA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614B"/>
    <w:rsid w:val="002E7E29"/>
    <w:rsid w:val="002F1F31"/>
    <w:rsid w:val="002F2709"/>
    <w:rsid w:val="002F3412"/>
    <w:rsid w:val="002F5E05"/>
    <w:rsid w:val="002F5EAD"/>
    <w:rsid w:val="00302AD1"/>
    <w:rsid w:val="00302C1C"/>
    <w:rsid w:val="00306CE3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14C45"/>
    <w:rsid w:val="004300EC"/>
    <w:rsid w:val="0043315E"/>
    <w:rsid w:val="004345F4"/>
    <w:rsid w:val="00434961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2F32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47C93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97DE5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B7437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6D82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E4815"/>
    <w:rsid w:val="007F07F3"/>
    <w:rsid w:val="007F1BD5"/>
    <w:rsid w:val="00807AA0"/>
    <w:rsid w:val="00810BC6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A7BB7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226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0247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475B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05ED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3388F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7B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934780"/>
    <w:rsid w:val="01F20D71"/>
    <w:rsid w:val="027A77C1"/>
    <w:rsid w:val="028F491F"/>
    <w:rsid w:val="02DD3F0F"/>
    <w:rsid w:val="03D2448F"/>
    <w:rsid w:val="043F474B"/>
    <w:rsid w:val="0450700B"/>
    <w:rsid w:val="04517A58"/>
    <w:rsid w:val="0490311A"/>
    <w:rsid w:val="04BE23A5"/>
    <w:rsid w:val="04BF3B56"/>
    <w:rsid w:val="050414F1"/>
    <w:rsid w:val="05796E8A"/>
    <w:rsid w:val="058802DD"/>
    <w:rsid w:val="059960DD"/>
    <w:rsid w:val="05FD3B43"/>
    <w:rsid w:val="06484E98"/>
    <w:rsid w:val="06556E39"/>
    <w:rsid w:val="06E83375"/>
    <w:rsid w:val="06EF6A97"/>
    <w:rsid w:val="074D0400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A5D72DC"/>
    <w:rsid w:val="0A930DC2"/>
    <w:rsid w:val="0AB945A1"/>
    <w:rsid w:val="0B8C31F9"/>
    <w:rsid w:val="0BF202F5"/>
    <w:rsid w:val="0D1F336B"/>
    <w:rsid w:val="0E9D6BBB"/>
    <w:rsid w:val="0ECE0394"/>
    <w:rsid w:val="0EFA5E48"/>
    <w:rsid w:val="0F326BA0"/>
    <w:rsid w:val="0F841987"/>
    <w:rsid w:val="11D0005B"/>
    <w:rsid w:val="13040FFD"/>
    <w:rsid w:val="13136145"/>
    <w:rsid w:val="135F33F5"/>
    <w:rsid w:val="13752EF3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87F524A"/>
    <w:rsid w:val="18AB0A17"/>
    <w:rsid w:val="190653E0"/>
    <w:rsid w:val="192E4AE6"/>
    <w:rsid w:val="19AB6E72"/>
    <w:rsid w:val="1A7306A9"/>
    <w:rsid w:val="1AA76EC8"/>
    <w:rsid w:val="1AB145E1"/>
    <w:rsid w:val="1AE90104"/>
    <w:rsid w:val="1B0A5D65"/>
    <w:rsid w:val="1B397CEE"/>
    <w:rsid w:val="1B3F285C"/>
    <w:rsid w:val="1B856928"/>
    <w:rsid w:val="1C1856EB"/>
    <w:rsid w:val="1CB440FB"/>
    <w:rsid w:val="1D1D719C"/>
    <w:rsid w:val="1D200BDC"/>
    <w:rsid w:val="1D2D43D9"/>
    <w:rsid w:val="1D781EA3"/>
    <w:rsid w:val="1E630C0C"/>
    <w:rsid w:val="1E71779F"/>
    <w:rsid w:val="1E8539B9"/>
    <w:rsid w:val="1FBE71E9"/>
    <w:rsid w:val="20282FFF"/>
    <w:rsid w:val="21E65B6A"/>
    <w:rsid w:val="22E5658B"/>
    <w:rsid w:val="239E442A"/>
    <w:rsid w:val="24035D64"/>
    <w:rsid w:val="247B4B8D"/>
    <w:rsid w:val="249124AC"/>
    <w:rsid w:val="24C55C43"/>
    <w:rsid w:val="24EA38CC"/>
    <w:rsid w:val="25235B93"/>
    <w:rsid w:val="25496246"/>
    <w:rsid w:val="256300DD"/>
    <w:rsid w:val="25F26CE2"/>
    <w:rsid w:val="26235BF0"/>
    <w:rsid w:val="263F27D1"/>
    <w:rsid w:val="267C4EC5"/>
    <w:rsid w:val="26A963C7"/>
    <w:rsid w:val="27160EE4"/>
    <w:rsid w:val="27710324"/>
    <w:rsid w:val="27AC402D"/>
    <w:rsid w:val="27B02D51"/>
    <w:rsid w:val="28117266"/>
    <w:rsid w:val="281925F0"/>
    <w:rsid w:val="28C747BD"/>
    <w:rsid w:val="295A63B6"/>
    <w:rsid w:val="29876764"/>
    <w:rsid w:val="29E54C96"/>
    <w:rsid w:val="2A6E72C4"/>
    <w:rsid w:val="2AE84226"/>
    <w:rsid w:val="2AF21C5F"/>
    <w:rsid w:val="2AFD6FC6"/>
    <w:rsid w:val="2B6A3B8F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2FAD43AF"/>
    <w:rsid w:val="301E705B"/>
    <w:rsid w:val="306A53C9"/>
    <w:rsid w:val="311A06DB"/>
    <w:rsid w:val="317D5B4E"/>
    <w:rsid w:val="31A524C4"/>
    <w:rsid w:val="331C5AD4"/>
    <w:rsid w:val="33253090"/>
    <w:rsid w:val="332E2F29"/>
    <w:rsid w:val="33383076"/>
    <w:rsid w:val="340A7DC1"/>
    <w:rsid w:val="34503692"/>
    <w:rsid w:val="34B34800"/>
    <w:rsid w:val="35D11348"/>
    <w:rsid w:val="35EC0228"/>
    <w:rsid w:val="367A7D64"/>
    <w:rsid w:val="37B72FAF"/>
    <w:rsid w:val="37DB3111"/>
    <w:rsid w:val="388D1222"/>
    <w:rsid w:val="393D57B7"/>
    <w:rsid w:val="395F436A"/>
    <w:rsid w:val="39637B15"/>
    <w:rsid w:val="3BA879C6"/>
    <w:rsid w:val="3BB84F93"/>
    <w:rsid w:val="3DE53B38"/>
    <w:rsid w:val="3E23681F"/>
    <w:rsid w:val="3E500D27"/>
    <w:rsid w:val="3ED701DB"/>
    <w:rsid w:val="40257BBA"/>
    <w:rsid w:val="41EA6017"/>
    <w:rsid w:val="42107BEE"/>
    <w:rsid w:val="42620242"/>
    <w:rsid w:val="426C1B24"/>
    <w:rsid w:val="42A51C96"/>
    <w:rsid w:val="444B012A"/>
    <w:rsid w:val="4597370E"/>
    <w:rsid w:val="45ED5A28"/>
    <w:rsid w:val="4665558C"/>
    <w:rsid w:val="47804A75"/>
    <w:rsid w:val="479E4324"/>
    <w:rsid w:val="482C4A17"/>
    <w:rsid w:val="48D92DDC"/>
    <w:rsid w:val="48F77AB1"/>
    <w:rsid w:val="494F6B62"/>
    <w:rsid w:val="49735CE2"/>
    <w:rsid w:val="4A42081C"/>
    <w:rsid w:val="4AB4263E"/>
    <w:rsid w:val="4AC24D5B"/>
    <w:rsid w:val="4B12476D"/>
    <w:rsid w:val="4B154B9B"/>
    <w:rsid w:val="4B7655EE"/>
    <w:rsid w:val="4BC934D9"/>
    <w:rsid w:val="4C0814C4"/>
    <w:rsid w:val="4C9F0FD7"/>
    <w:rsid w:val="4D1B0752"/>
    <w:rsid w:val="4D7549E6"/>
    <w:rsid w:val="4DB75C10"/>
    <w:rsid w:val="4E8D742E"/>
    <w:rsid w:val="4EB46FE0"/>
    <w:rsid w:val="4EF83B47"/>
    <w:rsid w:val="4FAF27B1"/>
    <w:rsid w:val="4FD82DAE"/>
    <w:rsid w:val="4FFA6B7D"/>
    <w:rsid w:val="501D3E00"/>
    <w:rsid w:val="503F0BFC"/>
    <w:rsid w:val="50447FC0"/>
    <w:rsid w:val="51002139"/>
    <w:rsid w:val="51E056AD"/>
    <w:rsid w:val="52645163"/>
    <w:rsid w:val="531242BB"/>
    <w:rsid w:val="53342971"/>
    <w:rsid w:val="54996B2C"/>
    <w:rsid w:val="54AC42D6"/>
    <w:rsid w:val="54FB217D"/>
    <w:rsid w:val="55081F04"/>
    <w:rsid w:val="551B6739"/>
    <w:rsid w:val="551E569C"/>
    <w:rsid w:val="5557386F"/>
    <w:rsid w:val="557F01C6"/>
    <w:rsid w:val="56AC2486"/>
    <w:rsid w:val="579655A5"/>
    <w:rsid w:val="57A5105B"/>
    <w:rsid w:val="586E37F0"/>
    <w:rsid w:val="587A136B"/>
    <w:rsid w:val="590B30A7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F5F7D41"/>
    <w:rsid w:val="60AA3E6F"/>
    <w:rsid w:val="60DD4922"/>
    <w:rsid w:val="61A64BFE"/>
    <w:rsid w:val="628D2EDB"/>
    <w:rsid w:val="62C91468"/>
    <w:rsid w:val="62F537D8"/>
    <w:rsid w:val="6370733A"/>
    <w:rsid w:val="64AC6391"/>
    <w:rsid w:val="66E5229D"/>
    <w:rsid w:val="67592E6B"/>
    <w:rsid w:val="67FC6E05"/>
    <w:rsid w:val="68EA74FF"/>
    <w:rsid w:val="69A022B3"/>
    <w:rsid w:val="69BB5AF7"/>
    <w:rsid w:val="69D3282D"/>
    <w:rsid w:val="69EE78DD"/>
    <w:rsid w:val="6A670E11"/>
    <w:rsid w:val="6A9B1D29"/>
    <w:rsid w:val="6AAF5D15"/>
    <w:rsid w:val="6B0D5BA0"/>
    <w:rsid w:val="6B5478DD"/>
    <w:rsid w:val="6BBC0310"/>
    <w:rsid w:val="6C157252"/>
    <w:rsid w:val="6C16401E"/>
    <w:rsid w:val="6C40624E"/>
    <w:rsid w:val="6C4A7000"/>
    <w:rsid w:val="6C876B11"/>
    <w:rsid w:val="6DAE0693"/>
    <w:rsid w:val="6E9879FD"/>
    <w:rsid w:val="6F56024D"/>
    <w:rsid w:val="6F954DC1"/>
    <w:rsid w:val="6FA06B69"/>
    <w:rsid w:val="700A0487"/>
    <w:rsid w:val="704A6721"/>
    <w:rsid w:val="7057541D"/>
    <w:rsid w:val="70714708"/>
    <w:rsid w:val="70AE6992"/>
    <w:rsid w:val="71037512"/>
    <w:rsid w:val="710650F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814095E"/>
    <w:rsid w:val="79585A4F"/>
    <w:rsid w:val="79740900"/>
    <w:rsid w:val="7AC41D91"/>
    <w:rsid w:val="7ACC449A"/>
    <w:rsid w:val="7BA53563"/>
    <w:rsid w:val="7BB824AC"/>
    <w:rsid w:val="7C4160FC"/>
    <w:rsid w:val="7C7206F9"/>
    <w:rsid w:val="7C7F66A3"/>
    <w:rsid w:val="7D1F067E"/>
    <w:rsid w:val="7D3F6BA5"/>
    <w:rsid w:val="7E747036"/>
    <w:rsid w:val="7E8805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9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99"/>
    <w:pPr>
      <w:keepNext/>
      <w:keepLines/>
      <w:numPr>
        <w:ilvl w:val="0"/>
        <w:numId w:val="1"/>
      </w:numPr>
      <w:snapToGrid w:val="0"/>
      <w:spacing w:after="360" w:afterLines="15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autoRedefine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autoRedefine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7">
    <w:name w:val="toc 3"/>
    <w:basedOn w:val="1"/>
    <w:next w:val="1"/>
    <w:autoRedefine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8">
    <w:name w:val="Balloon Text"/>
    <w:basedOn w:val="1"/>
    <w:link w:val="26"/>
    <w:autoRedefine/>
    <w:qFormat/>
    <w:uiPriority w:val="99"/>
    <w:rPr>
      <w:rFonts w:ascii="Times New Roman" w:hAnsi="Times New Roman"/>
      <w:kern w:val="0"/>
      <w:sz w:val="18"/>
      <w:szCs w:val="20"/>
    </w:rPr>
  </w:style>
  <w:style w:type="paragraph" w:styleId="9">
    <w:name w:val="footer"/>
    <w:basedOn w:val="1"/>
    <w:link w:val="27"/>
    <w:autoRedefine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10">
    <w:name w:val="header"/>
    <w:basedOn w:val="1"/>
    <w:link w:val="28"/>
    <w:autoRedefine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1">
    <w:name w:val="toc 1"/>
    <w:basedOn w:val="1"/>
    <w:next w:val="1"/>
    <w:autoRedefine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2">
    <w:name w:val="toc 2"/>
    <w:basedOn w:val="1"/>
    <w:next w:val="1"/>
    <w:autoRedefine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autoRedefine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6"/>
    <w:link w:val="25"/>
    <w:autoRedefine/>
    <w:qFormat/>
    <w:uiPriority w:val="99"/>
    <w:pPr>
      <w:spacing w:after="0"/>
      <w:ind w:firstLine="498"/>
    </w:pPr>
  </w:style>
  <w:style w:type="table" w:styleId="16">
    <w:name w:val="Table Grid"/>
    <w:basedOn w:val="15"/>
    <w:autoRedefine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0"/>
    <w:rPr>
      <w:b/>
      <w:bCs/>
    </w:rPr>
  </w:style>
  <w:style w:type="character" w:styleId="19">
    <w:name w:val="Emphasis"/>
    <w:autoRedefine/>
    <w:qFormat/>
    <w:uiPriority w:val="99"/>
    <w:rPr>
      <w:rFonts w:cs="Times New Roman"/>
      <w:color w:val="CC0000"/>
    </w:rPr>
  </w:style>
  <w:style w:type="character" w:styleId="20">
    <w:name w:val="Hyperlink"/>
    <w:autoRedefine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autoRedefine/>
    <w:qFormat/>
    <w:locked/>
    <w:uiPriority w:val="99"/>
    <w:rPr>
      <w:b/>
      <w:kern w:val="1"/>
      <w:sz w:val="36"/>
      <w:szCs w:val="36"/>
    </w:rPr>
  </w:style>
  <w:style w:type="character" w:customStyle="1" w:styleId="22">
    <w:name w:val="标题 2 字符"/>
    <w:link w:val="3"/>
    <w:autoRedefine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5"/>
    <w:autoRedefine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6"/>
    <w:autoRedefine/>
    <w:qFormat/>
    <w:locked/>
    <w:uiPriority w:val="99"/>
  </w:style>
  <w:style w:type="character" w:customStyle="1" w:styleId="25">
    <w:name w:val="正文文本首行缩进 字符"/>
    <w:link w:val="14"/>
    <w:autoRedefine/>
    <w:qFormat/>
    <w:locked/>
    <w:uiPriority w:val="99"/>
    <w:rPr>
      <w:rFonts w:cs="Times New Roman"/>
    </w:rPr>
  </w:style>
  <w:style w:type="character" w:customStyle="1" w:styleId="26">
    <w:name w:val="批注框文本 字符"/>
    <w:link w:val="8"/>
    <w:autoRedefine/>
    <w:qFormat/>
    <w:locked/>
    <w:uiPriority w:val="99"/>
    <w:rPr>
      <w:sz w:val="18"/>
    </w:rPr>
  </w:style>
  <w:style w:type="character" w:customStyle="1" w:styleId="27">
    <w:name w:val="页脚 字符"/>
    <w:link w:val="9"/>
    <w:autoRedefine/>
    <w:qFormat/>
    <w:locked/>
    <w:uiPriority w:val="99"/>
    <w:rPr>
      <w:sz w:val="18"/>
    </w:rPr>
  </w:style>
  <w:style w:type="character" w:customStyle="1" w:styleId="28">
    <w:name w:val="页眉 字符"/>
    <w:link w:val="10"/>
    <w:autoRedefine/>
    <w:qFormat/>
    <w:locked/>
    <w:uiPriority w:val="99"/>
    <w:rPr>
      <w:sz w:val="18"/>
    </w:rPr>
  </w:style>
  <w:style w:type="character" w:customStyle="1" w:styleId="29">
    <w:name w:val="标题 字符"/>
    <w:link w:val="13"/>
    <w:autoRedefine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autoRedefine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autoRedefine/>
    <w:qFormat/>
    <w:uiPriority w:val="99"/>
    <w:pPr>
      <w:numPr>
        <w:ilvl w:val="0"/>
        <w:numId w:val="2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autoRedefine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autoRedefine/>
    <w:qFormat/>
    <w:uiPriority w:val="99"/>
    <w:pPr>
      <w:ind w:hanging="360"/>
    </w:pPr>
  </w:style>
  <w:style w:type="paragraph" w:customStyle="1" w:styleId="35">
    <w:name w:val="列出段落1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autoRedefine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autoRedefine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autoRedefine/>
    <w:qFormat/>
    <w:uiPriority w:val="99"/>
  </w:style>
  <w:style w:type="character" w:customStyle="1" w:styleId="42">
    <w:name w:val="样式1 Char"/>
    <w:autoRedefine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autoRedefine/>
    <w:qFormat/>
    <w:uiPriority w:val="99"/>
    <w:rPr>
      <w:b/>
      <w:sz w:val="44"/>
    </w:rPr>
  </w:style>
  <w:style w:type="character" w:customStyle="1" w:styleId="44">
    <w:name w:val="Body Text First Indent Char1"/>
    <w:autoRedefine/>
    <w:qFormat/>
    <w:uiPriority w:val="99"/>
    <w:rPr>
      <w:sz w:val="24"/>
    </w:rPr>
  </w:style>
  <w:style w:type="character" w:customStyle="1" w:styleId="45">
    <w:name w:val="apple-converted-space"/>
    <w:autoRedefine/>
    <w:qFormat/>
    <w:uiPriority w:val="99"/>
  </w:style>
  <w:style w:type="character" w:customStyle="1" w:styleId="46">
    <w:name w:val="论文正文1 Char"/>
    <w:autoRedefine/>
    <w:qFormat/>
    <w:uiPriority w:val="99"/>
    <w:rPr>
      <w:sz w:val="24"/>
    </w:rPr>
  </w:style>
  <w:style w:type="paragraph" w:customStyle="1" w:styleId="47">
    <w:name w:val="List Paragraph1"/>
    <w:basedOn w:val="1"/>
    <w:autoRedefine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autoRedefine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autoRedefine/>
    <w:qFormat/>
    <w:uiPriority w:val="0"/>
  </w:style>
  <w:style w:type="character" w:customStyle="1" w:styleId="52">
    <w:name w:val="明显强调1"/>
    <w:basedOn w:val="17"/>
    <w:autoRedefine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表格"/>
    <w:basedOn w:val="1"/>
    <w:autoRedefine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customStyle="1" w:styleId="57">
    <w:name w:val="TOC Heading"/>
    <w:basedOn w:val="2"/>
    <w:next w:val="1"/>
    <w:autoRedefine/>
    <w:unhideWhenUsed/>
    <w:qFormat/>
    <w:uiPriority w:val="39"/>
    <w:pPr>
      <w:widowControl/>
      <w:numPr>
        <w:numId w:val="0"/>
      </w:numPr>
      <w:snapToGrid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3260</Words>
  <Characters>3816</Characters>
  <Lines>35</Lines>
  <Paragraphs>9</Paragraphs>
  <TotalTime>4</TotalTime>
  <ScaleCrop>false</ScaleCrop>
  <LinksUpToDate>false</LinksUpToDate>
  <CharactersWithSpaces>3967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謉媿</cp:lastModifiedBy>
  <cp:lastPrinted>2016-09-28T07:20:00Z</cp:lastPrinted>
  <dcterms:modified xsi:type="dcterms:W3CDTF">2024-09-09T10:00:46Z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CACA7E7B81E3421A8CF8C8A44ED3CD91_13</vt:lpwstr>
  </property>
</Properties>
</file>