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Times New Roman" w:hAnsi="Times New Roman"/>
          <w:b/>
          <w:bCs/>
          <w:sz w:val="24"/>
          <w:szCs w:val="24"/>
        </w:rPr>
      </w:pPr>
      <w:r>
        <w:rPr>
          <w:rFonts w:ascii="Times New Roman" w:hAnsi="Times New Roman"/>
          <w:sz w:val="24"/>
          <w:szCs w:val="24"/>
        </w:rPr>
        <w:drawing>
          <wp:anchor distT="0" distB="0" distL="114300" distR="114300" simplePos="0" relativeHeight="251663360" behindDoc="0" locked="0" layoutInCell="1" allowOverlap="1">
            <wp:simplePos x="0" y="0"/>
            <wp:positionH relativeFrom="column">
              <wp:posOffset>1542415</wp:posOffset>
            </wp:positionH>
            <wp:positionV relativeFrom="paragraph">
              <wp:posOffset>-13335</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8"/>
                    <a:stretch>
                      <a:fillRect/>
                    </a:stretch>
                  </pic:blipFill>
                  <pic:spPr>
                    <a:xfrm>
                      <a:off x="0" y="0"/>
                      <a:ext cx="2579370" cy="530225"/>
                    </a:xfrm>
                    <a:prstGeom prst="rect">
                      <a:avLst/>
                    </a:prstGeom>
                  </pic:spPr>
                </pic:pic>
              </a:graphicData>
            </a:graphic>
          </wp:anchor>
        </w:drawing>
      </w:r>
      <w:r>
        <w:rPr>
          <w:rFonts w:ascii="Times New Roman" w:hAnsi="Times New Roman"/>
          <w:sz w:val="24"/>
          <w:szCs w:val="24"/>
        </w:rPr>
        <w:drawing>
          <wp:anchor distT="0" distB="0" distL="114300" distR="114300" simplePos="0" relativeHeight="251659264" behindDoc="0" locked="0" layoutInCell="1" allowOverlap="1">
            <wp:simplePos x="0" y="0"/>
            <wp:positionH relativeFrom="column">
              <wp:posOffset>-850900</wp:posOffset>
            </wp:positionH>
            <wp:positionV relativeFrom="paragraph">
              <wp:posOffset>-1238885</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9"/>
                    <a:stretch>
                      <a:fillRect/>
                    </a:stretch>
                  </pic:blipFill>
                  <pic:spPr>
                    <a:xfrm>
                      <a:off x="0" y="0"/>
                      <a:ext cx="7582535" cy="10892790"/>
                    </a:xfrm>
                    <a:prstGeom prst="rect">
                      <a:avLst/>
                    </a:prstGeom>
                  </pic:spPr>
                </pic:pic>
              </a:graphicData>
            </a:graphic>
          </wp:anchor>
        </w:drawing>
      </w:r>
    </w:p>
    <w:p>
      <w:pPr>
        <w:spacing w:before="240" w:beforeLines="100"/>
        <w:jc w:val="center"/>
        <w:rPr>
          <w:rFonts w:ascii="Times New Roman" w:hAnsi="Times New Roman"/>
          <w:sz w:val="24"/>
          <w:szCs w:val="24"/>
        </w:rPr>
      </w:pPr>
      <w:bookmarkStart w:id="0" w:name="_Toc468962812"/>
      <w:bookmarkEnd w:id="0"/>
      <w:r>
        <w:rPr>
          <w:rFonts w:ascii="Times New Roman" w:hAnsi="Times New Roman" w:eastAsiaTheme="minorEastAsia"/>
          <w:sz w:val="24"/>
          <w:szCs w:val="24"/>
        </w:rPr>
        <mc:AlternateContent>
          <mc:Choice Requires="wps">
            <w:drawing>
              <wp:anchor distT="0" distB="0" distL="114300" distR="114300" simplePos="0" relativeHeight="251668480" behindDoc="0" locked="0" layoutInCell="1" allowOverlap="1">
                <wp:simplePos x="0" y="0"/>
                <wp:positionH relativeFrom="column">
                  <wp:posOffset>-824865</wp:posOffset>
                </wp:positionH>
                <wp:positionV relativeFrom="paragraph">
                  <wp:posOffset>5854700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4.95pt;margin-top:461pt;height:224pt;width:595pt;z-index:251668480;v-text-anchor:middle;mso-width-relative:page;mso-height-relative:page;" filled="f" stroked="f" coordsize="21600,21600" o:gfxdata="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m3sF&#10;3QAAAA4BAAAPAAAAAAAAAAEAIAAAACIAAABkcnMvZG93bnJldi54bWxQSwECFAAUAAAACACHTuJA&#10;+XcVLlUCAACaBAAADgAAAAAAAAABACAAAAAsAQAAZHJzL2Uyb0RvYy54bWxQSwUGAAAAAAYABgBZ&#10;AQAA8wU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r>
        <w:rPr>
          <w:rFonts w:ascii="Times New Roman" w:hAnsi="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1076325</wp:posOffset>
                </wp:positionH>
                <wp:positionV relativeFrom="paragraph">
                  <wp:posOffset>1868805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75pt;margin-top:147.15pt;height:72pt;width:303.3pt;z-index:251667456;mso-width-relative:page;mso-height-relative:page;" filled="f" stroked="f" coordsize="21600,21600" o:gfxdata="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31/o9wA&#10;AAALAQAADwAAAAAAAAABACAAAAAiAAAAZHJzL2Rvd25yZXYueG1sUEsBAhQAFAAAAAgAh07iQC26&#10;eSRUAgAAlwQAAA4AAAAAAAAAAQAgAAAAKwEAAGRycy9lMm9Eb2MueG1sUEsFBgAAAAAGAAYAWQEA&#10;APEFA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-816610</wp:posOffset>
                </wp:positionH>
                <wp:positionV relativeFrom="paragraph">
                  <wp:posOffset>264160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炎症细胞模型实验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3pt;margin-top:20.8pt;height:96.05pt;width:594.8pt;z-index:251666432;mso-width-relative:page;mso-height-relative:page;" filled="f" stroked="f" coordsize="21600,21600" o:gfxdata="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J7&#10;WondAAAADAEAAA8AAAAAAAAAAQAgAAAAIgAAAGRycy9kb3ducmV2LnhtbFBLAQIUABQAAAAIAIdO&#10;4kB7Aw7rVwIAAJgEAAAOAAAAAAAAAAEAIAAAACwBAABkcnMvZTJvRG9jLnhtbFBLBQYAAAAABgAG&#10;AFkBAAD1BQ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炎症细胞模型实验</w:t>
                      </w:r>
                    </w:p>
                  </w:txbxContent>
                </v:textbox>
              </v:shape>
            </w:pict>
          </mc:Fallback>
        </mc:AlternateContent>
      </w:r>
      <w:r>
        <w:rPr>
          <w:rFonts w:ascii="Times New Roman" w:hAnsi="Times New Roman"/>
          <w:sz w:val="24"/>
          <w:szCs w:val="24"/>
        </w:rPr>
        <w:br w:type="page"/>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25" w:name="_GoBack"/>
      <w:bookmarkEnd w:id="25"/>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2"/>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2"/>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br w:type="page"/>
      </w:r>
    </w:p>
    <w:p>
      <w:pPr>
        <w:snapToGrid w:val="0"/>
        <w:spacing w:line="500" w:lineRule="exact"/>
        <w:ind w:left="420" w:leftChars="200"/>
        <w:rPr>
          <w:rFonts w:ascii="Times New Roman" w:hAnsi="Times New Roman"/>
          <w:color w:val="000000" w:themeColor="text1"/>
          <w:sz w:val="24"/>
          <w:szCs w:val="24"/>
          <w14:textFill>
            <w14:solidFill>
              <w14:schemeClr w14:val="tx1"/>
            </w14:solidFill>
          </w14:textFill>
        </w:rPr>
      </w:pPr>
    </w:p>
    <w:p>
      <w:pPr>
        <w:pStyle w:val="3"/>
        <w:spacing w:before="120" w:beforeLines="50" w:after="120" w:afterLines="50" w:line="240" w:lineRule="auto"/>
        <w:jc w:val="center"/>
      </w:pPr>
      <w:bookmarkStart w:id="1" w:name="_Toc169253603"/>
      <w:bookmarkStart w:id="2" w:name="_Toc3116"/>
      <w:r>
        <w:t>声明</w:t>
      </w:r>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r>
        <w:rPr>
          <w:rFonts w:ascii="Times New Roman" w:hAnsi="Times New Roman"/>
          <w:sz w:val="24"/>
          <w:szCs w:val="24"/>
        </w:rPr>
        <w:t>成都奥创生物科技有限公司</w:t>
      </w:r>
    </w:p>
    <w:p>
      <w:pPr>
        <w:widowControl/>
        <w:jc w:val="left"/>
        <w:rPr>
          <w:rFonts w:ascii="Times New Roman" w:hAnsi="Times New Roman"/>
          <w:sz w:val="24"/>
          <w:szCs w:val="24"/>
        </w:rPr>
      </w:pPr>
      <w:r>
        <w:rPr>
          <w:rFonts w:ascii="Times New Roman" w:hAnsi="Times New Roman"/>
          <w:sz w:val="24"/>
          <w:szCs w:val="24"/>
        </w:rPr>
        <w:br w:type="page"/>
      </w:r>
    </w:p>
    <w:sdt>
      <w:sdtPr>
        <w:rPr>
          <w:rFonts w:ascii="Calibri" w:hAnsi="Calibri" w:eastAsia="宋体" w:cs="Times New Roman"/>
          <w:color w:val="auto"/>
          <w:kern w:val="1"/>
          <w:sz w:val="21"/>
          <w:szCs w:val="22"/>
          <w:lang w:val="zh-CN"/>
        </w:rPr>
        <w:id w:val="22132495"/>
        <w:docPartObj>
          <w:docPartGallery w:val="Table of Contents"/>
          <w:docPartUnique/>
        </w:docPartObj>
      </w:sdtPr>
      <w:sdtEndPr>
        <w:rPr>
          <w:rFonts w:ascii="Calibri" w:hAnsi="Calibri" w:eastAsia="宋体" w:cs="Times New Roman"/>
          <w:b/>
          <w:bCs/>
          <w:color w:val="auto"/>
          <w:kern w:val="1"/>
          <w:sz w:val="21"/>
          <w:szCs w:val="22"/>
          <w:lang w:val="zh-CN"/>
        </w:rPr>
      </w:sdtEndPr>
      <w:sdtContent>
        <w:p>
          <w:pPr>
            <w:pStyle w:val="62"/>
            <w:jc w:val="center"/>
            <w:rPr>
              <w:color w:val="auto"/>
              <w:sz w:val="44"/>
              <w:szCs w:val="44"/>
            </w:rPr>
          </w:pPr>
          <w:bookmarkStart w:id="3" w:name="_Toc25695"/>
          <w:bookmarkStart w:id="4" w:name="_Toc27944"/>
          <w:r>
            <w:rPr>
              <w:color w:val="auto"/>
              <w:sz w:val="44"/>
              <w:szCs w:val="44"/>
              <w:lang w:val="zh-CN"/>
            </w:rPr>
            <w:t>目录</w:t>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TOC \o "1-3" \h \z \u </w:instrText>
          </w:r>
          <w:r>
            <w:fldChar w:fldCharType="separate"/>
          </w:r>
          <w:r>
            <w:fldChar w:fldCharType="begin"/>
          </w:r>
          <w:r>
            <w:instrText xml:space="preserve"> HYPERLINK \l "_Toc169253603" </w:instrText>
          </w:r>
          <w:r>
            <w:fldChar w:fldCharType="separate"/>
          </w:r>
          <w:r>
            <w:rPr>
              <w:rStyle w:val="20"/>
              <w:rFonts w:ascii="Times New Roman" w:hAnsi="Times New Roman"/>
              <w:sz w:val="24"/>
              <w:szCs w:val="24"/>
            </w:rPr>
            <w:t>声明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_Toc169253603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pPr>
            <w:pStyle w:val="11"/>
            <w:tabs>
              <w:tab w:val="right" w:leader="dot" w:pos="9310"/>
            </w:tabs>
            <w:rPr>
              <w:rFonts w:ascii="Times New Roman" w:hAnsi="Times New Roman"/>
              <w:kern w:val="2"/>
              <w:sz w:val="24"/>
              <w:szCs w:val="24"/>
              <w14:ligatures w14:val="standardContextual"/>
            </w:rPr>
          </w:pPr>
          <w:r>
            <w:fldChar w:fldCharType="begin"/>
          </w:r>
          <w:r>
            <w:instrText xml:space="preserve"> HYPERLINK \l "_Toc169253604" </w:instrText>
          </w:r>
          <w:r>
            <w:fldChar w:fldCharType="separate"/>
          </w:r>
          <w:r>
            <w:rPr>
              <w:rStyle w:val="20"/>
              <w:rFonts w:ascii="Times New Roman" w:hAnsi="Times New Roman"/>
              <w:sz w:val="24"/>
              <w:szCs w:val="24"/>
            </w:rPr>
            <w:t>一、实验仪器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_Toc169253604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1"/>
            <w:tabs>
              <w:tab w:val="right" w:leader="dot" w:pos="9310"/>
            </w:tabs>
            <w:rPr>
              <w:rFonts w:ascii="Times New Roman" w:hAnsi="Times New Roman"/>
              <w:kern w:val="2"/>
              <w:sz w:val="24"/>
              <w:szCs w:val="24"/>
              <w14:ligatures w14:val="standardContextual"/>
            </w:rPr>
          </w:pPr>
          <w:r>
            <w:fldChar w:fldCharType="begin"/>
          </w:r>
          <w:r>
            <w:instrText xml:space="preserve"> HYPERLINK \l "_Toc169253605" </w:instrText>
          </w:r>
          <w:r>
            <w:fldChar w:fldCharType="separate"/>
          </w:r>
          <w:r>
            <w:rPr>
              <w:rStyle w:val="20"/>
              <w:rFonts w:ascii="Times New Roman" w:hAnsi="Times New Roman"/>
              <w:sz w:val="24"/>
              <w:szCs w:val="24"/>
            </w:rPr>
            <w:t>二、 试剂与耗材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_Toc169253605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pPr>
            <w:pStyle w:val="11"/>
            <w:tabs>
              <w:tab w:val="right" w:leader="dot" w:pos="9310"/>
            </w:tabs>
            <w:rPr>
              <w:rFonts w:ascii="Times New Roman" w:hAnsi="Times New Roman"/>
              <w:kern w:val="2"/>
              <w:sz w:val="24"/>
              <w:szCs w:val="24"/>
              <w14:ligatures w14:val="standardContextual"/>
            </w:rPr>
          </w:pPr>
          <w:r>
            <w:fldChar w:fldCharType="begin"/>
          </w:r>
          <w:r>
            <w:instrText xml:space="preserve"> HYPERLINK \l "_Toc169253606" </w:instrText>
          </w:r>
          <w:r>
            <w:fldChar w:fldCharType="separate"/>
          </w:r>
          <w:r>
            <w:rPr>
              <w:rStyle w:val="20"/>
              <w:rFonts w:ascii="Times New Roman" w:hAnsi="Times New Roman"/>
              <w:sz w:val="24"/>
              <w:szCs w:val="24"/>
            </w:rPr>
            <w:t>三、实验步骤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_Toc169253606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HYPERLINK \l "_Toc169253607" </w:instrText>
          </w:r>
          <w:r>
            <w:fldChar w:fldCharType="separate"/>
          </w:r>
          <w:r>
            <w:rPr>
              <w:rStyle w:val="20"/>
              <w:rFonts w:ascii="Times New Roman" w:hAnsi="Times New Roman"/>
              <w:sz w:val="24"/>
              <w:szCs w:val="24"/>
            </w:rPr>
            <w:t>1、细胞传代/换液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_Toc169253607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HYPERLINK \l "_Toc169253608" </w:instrText>
          </w:r>
          <w:r>
            <w:fldChar w:fldCharType="separate"/>
          </w:r>
          <w:r>
            <w:rPr>
              <w:rStyle w:val="20"/>
              <w:rFonts w:ascii="Times New Roman" w:hAnsi="Times New Roman"/>
              <w:sz w:val="24"/>
              <w:szCs w:val="24"/>
            </w:rPr>
            <w:t>2、细胞铺板</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_Toc169253608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HYPERLINK \l "_Toc169253609" </w:instrText>
          </w:r>
          <w:r>
            <w:fldChar w:fldCharType="separate"/>
          </w:r>
          <w:r>
            <w:rPr>
              <w:rStyle w:val="20"/>
              <w:rFonts w:ascii="Times New Roman" w:hAnsi="Times New Roman"/>
              <w:sz w:val="24"/>
              <w:szCs w:val="24"/>
            </w:rPr>
            <w:t>3、LPS刺激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_Toc169253609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HYPERLINK \l "_Toc169253610" </w:instrText>
          </w:r>
          <w:r>
            <w:fldChar w:fldCharType="separate"/>
          </w:r>
          <w:r>
            <w:rPr>
              <w:rStyle w:val="20"/>
              <w:rFonts w:ascii="Times New Roman" w:hAnsi="Times New Roman"/>
              <w:sz w:val="24"/>
              <w:szCs w:val="24"/>
            </w:rPr>
            <w:t>4、结果展示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_Toc169253610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310"/>
            </w:tabs>
            <w:rPr>
              <w:rFonts w:ascii="Times New Roman" w:hAnsi="Times New Roman"/>
              <w:kern w:val="2"/>
              <w:sz w:val="24"/>
              <w:szCs w:val="24"/>
              <w14:ligatures w14:val="standardContextual"/>
            </w:rPr>
          </w:pPr>
          <w:r>
            <w:fldChar w:fldCharType="begin"/>
          </w:r>
          <w:r>
            <w:instrText xml:space="preserve"> HYPERLINK \l "_Toc169253611" </w:instrText>
          </w:r>
          <w:r>
            <w:fldChar w:fldCharType="separate"/>
          </w:r>
          <w:r>
            <w:rPr>
              <w:rStyle w:val="20"/>
              <w:rFonts w:ascii="Times New Roman" w:hAnsi="Times New Roman"/>
              <w:sz w:val="24"/>
              <w:szCs w:val="24"/>
            </w:rPr>
            <w:t>5、其他检测方式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_Toc169253611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r>
            <w:rPr>
              <w:b/>
              <w:bCs/>
              <w:lang w:val="zh-CN"/>
            </w:rPr>
            <w:fldChar w:fldCharType="end"/>
          </w:r>
        </w:p>
      </w:sdtContent>
    </w:sdt>
    <w:p>
      <w:pPr>
        <w:widowControl/>
        <w:jc w:val="left"/>
        <w:rPr>
          <w:rFonts w:ascii="Times New Roman" w:hAnsi="Times New Roman"/>
          <w:b/>
          <w:sz w:val="36"/>
          <w:szCs w:val="36"/>
        </w:rPr>
      </w:pPr>
      <w:r>
        <w:br w:type="page"/>
      </w:r>
    </w:p>
    <w:p>
      <w:pPr>
        <w:pStyle w:val="2"/>
        <w:ind w:firstLine="723"/>
      </w:pPr>
      <w:bookmarkStart w:id="5" w:name="_Toc169253604"/>
      <w:r>
        <w:t>一、实验仪器</w:t>
      </w:r>
      <w:bookmarkEnd w:id="3"/>
      <w:bookmarkEnd w:id="4"/>
      <w:bookmarkEnd w:id="5"/>
    </w:p>
    <w:tbl>
      <w:tblPr>
        <w:tblStyle w:val="15"/>
        <w:tblW w:w="9619" w:type="dxa"/>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3"/>
        <w:gridCol w:w="3744"/>
        <w:gridCol w:w="271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3163" w:type="dxa"/>
            <w:tcBorders>
              <w:top w:val="single" w:color="000000" w:sz="4" w:space="0"/>
              <w:bottom w:val="single" w:color="000000" w:sz="4" w:space="0"/>
            </w:tcBorders>
            <w:vAlign w:val="center"/>
          </w:tcPr>
          <w:p>
            <w:pPr>
              <w:pStyle w:val="60"/>
              <w:ind w:firstLine="482"/>
              <w:rPr>
                <w:rFonts w:ascii="Times New Roman" w:hAnsi="Times New Roman" w:cs="Times New Roman"/>
                <w:b/>
                <w:bCs w:val="0"/>
                <w:sz w:val="24"/>
                <w:szCs w:val="24"/>
              </w:rPr>
            </w:pPr>
            <w:r>
              <w:rPr>
                <w:rFonts w:ascii="Times New Roman" w:hAnsi="Times New Roman" w:cs="Times New Roman"/>
                <w:b/>
                <w:bCs w:val="0"/>
                <w:sz w:val="24"/>
                <w:szCs w:val="24"/>
              </w:rPr>
              <w:t>实验仪器</w:t>
            </w:r>
          </w:p>
        </w:tc>
        <w:tc>
          <w:tcPr>
            <w:tcW w:w="3744" w:type="dxa"/>
            <w:tcBorders>
              <w:top w:val="single" w:color="000000" w:sz="4" w:space="0"/>
              <w:bottom w:val="single" w:color="000000" w:sz="4" w:space="0"/>
            </w:tcBorders>
            <w:vAlign w:val="center"/>
          </w:tcPr>
          <w:p>
            <w:pPr>
              <w:pStyle w:val="60"/>
              <w:ind w:firstLine="482"/>
              <w:rPr>
                <w:rFonts w:ascii="Times New Roman" w:hAnsi="Times New Roman" w:cs="Times New Roman"/>
                <w:b/>
                <w:bCs w:val="0"/>
                <w:sz w:val="24"/>
                <w:szCs w:val="24"/>
              </w:rPr>
            </w:pPr>
            <w:r>
              <w:rPr>
                <w:rFonts w:ascii="Times New Roman" w:hAnsi="Times New Roman" w:cs="Times New Roman"/>
                <w:b/>
                <w:bCs w:val="0"/>
                <w:sz w:val="24"/>
                <w:szCs w:val="24"/>
              </w:rPr>
              <w:t>品牌</w:t>
            </w:r>
          </w:p>
        </w:tc>
        <w:tc>
          <w:tcPr>
            <w:tcW w:w="2712" w:type="dxa"/>
            <w:tcBorders>
              <w:top w:val="single" w:color="000000" w:sz="4" w:space="0"/>
              <w:bottom w:val="single" w:color="auto" w:sz="4" w:space="0"/>
            </w:tcBorders>
            <w:vAlign w:val="center"/>
          </w:tcPr>
          <w:p>
            <w:pPr>
              <w:pStyle w:val="60"/>
              <w:ind w:firstLine="482"/>
              <w:rPr>
                <w:rFonts w:ascii="Times New Roman" w:hAnsi="Times New Roman" w:cs="Times New Roman"/>
                <w:b/>
                <w:bCs w:val="0"/>
                <w:sz w:val="24"/>
                <w:szCs w:val="24"/>
              </w:rPr>
            </w:pPr>
            <w:r>
              <w:rPr>
                <w:rFonts w:ascii="Times New Roman" w:hAnsi="Times New Roman" w:cs="Times New Roman"/>
                <w:b/>
                <w:bCs w:val="0"/>
                <w:sz w:val="24"/>
                <w:szCs w:val="24"/>
              </w:rPr>
              <w:t>货号</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二氧化碳培养箱</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LABGIC</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COI-80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超净工作台</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博科</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BBS-DDC</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低速离心机</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SCILOGEX</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SCI406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感应式数控涡旋混匀仪</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LABGIC</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L-VM-B</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大容量电动移液器</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SCILOGEX</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SCI-Fill</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酶标仪</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detielab</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HBS-1096A</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3163" w:type="dxa"/>
            <w:vAlign w:val="center"/>
          </w:tcPr>
          <w:p>
            <w:pPr>
              <w:pStyle w:val="60"/>
              <w:rPr>
                <w:rFonts w:ascii="Times New Roman" w:hAnsi="Times New Roman" w:cs="Times New Roman"/>
                <w:kern w:val="2"/>
                <w:sz w:val="24"/>
                <w:szCs w:val="24"/>
              </w:rPr>
            </w:pPr>
            <w:bookmarkStart w:id="6" w:name="_Toc457909480"/>
            <w:bookmarkEnd w:id="6"/>
            <w:bookmarkStart w:id="7" w:name="_Toc475364643"/>
            <w:bookmarkEnd w:id="7"/>
            <w:bookmarkStart w:id="8" w:name="_Toc457908950"/>
            <w:bookmarkEnd w:id="8"/>
            <w:bookmarkStart w:id="9" w:name="_Toc9766"/>
            <w:bookmarkStart w:id="10" w:name="_Toc28846"/>
            <w:r>
              <w:rPr>
                <w:rFonts w:ascii="Times New Roman" w:hAnsi="Times New Roman" w:cs="Times New Roman"/>
                <w:kern w:val="2"/>
                <w:sz w:val="24"/>
                <w:szCs w:val="24"/>
              </w:rPr>
              <w:t>手动移液枪</w:t>
            </w:r>
          </w:p>
        </w:tc>
        <w:tc>
          <w:tcPr>
            <w:tcW w:w="3744"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Thermo</w:t>
            </w:r>
          </w:p>
        </w:tc>
        <w:tc>
          <w:tcPr>
            <w:tcW w:w="2712" w:type="dxa"/>
            <w:vAlign w:val="center"/>
          </w:tcPr>
          <w:p>
            <w:pPr>
              <w:pStyle w:val="60"/>
              <w:rPr>
                <w:rFonts w:ascii="Times New Roman" w:hAnsi="Times New Roman" w:cs="Times New Roman"/>
                <w:kern w:val="2"/>
                <w:sz w:val="24"/>
                <w:szCs w:val="24"/>
              </w:rPr>
            </w:pPr>
            <w:r>
              <w:rPr>
                <w:rFonts w:ascii="Times New Roman" w:hAnsi="Times New Roman" w:cs="Times New Roman"/>
                <w:kern w:val="2"/>
                <w:sz w:val="24"/>
                <w:szCs w:val="24"/>
              </w:rPr>
              <w:t>4640060</w:t>
            </w:r>
          </w:p>
        </w:tc>
      </w:tr>
    </w:tbl>
    <w:p>
      <w:pPr>
        <w:pStyle w:val="2"/>
        <w:numPr>
          <w:ilvl w:val="0"/>
          <w:numId w:val="3"/>
        </w:numPr>
      </w:pPr>
      <w:bookmarkStart w:id="11" w:name="_Toc169253605"/>
      <w:r>
        <w:t>试剂与耗材</w:t>
      </w:r>
      <w:bookmarkEnd w:id="9"/>
      <w:bookmarkEnd w:id="10"/>
      <w:bookmarkEnd w:id="11"/>
      <w:bookmarkStart w:id="12" w:name="_Toc457909481"/>
      <w:bookmarkEnd w:id="12"/>
      <w:bookmarkStart w:id="13" w:name="_Toc457908951"/>
      <w:bookmarkEnd w:id="13"/>
      <w:bookmarkStart w:id="14" w:name="_Toc2940"/>
      <w:bookmarkStart w:id="15" w:name="_Toc9399"/>
    </w:p>
    <w:tbl>
      <w:tblPr>
        <w:tblStyle w:val="15"/>
        <w:tblW w:w="4832"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05"/>
        <w:gridCol w:w="2902"/>
        <w:gridCol w:w="260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Borders>
              <w:bottom w:val="single" w:color="auto" w:sz="4" w:space="0"/>
            </w:tcBorders>
            <w:vAlign w:val="center"/>
          </w:tcPr>
          <w:p>
            <w:pPr>
              <w:pStyle w:val="60"/>
              <w:ind w:firstLine="482"/>
              <w:rPr>
                <w:rFonts w:ascii="Times New Roman" w:hAnsi="Times New Roman" w:cs="Times New Roman"/>
                <w:b/>
                <w:bCs w:val="0"/>
                <w:sz w:val="24"/>
                <w:szCs w:val="24"/>
              </w:rPr>
            </w:pPr>
            <w:bookmarkStart w:id="16" w:name="_Hlk140112928"/>
            <w:r>
              <w:rPr>
                <w:rFonts w:ascii="Times New Roman" w:hAnsi="Times New Roman" w:cs="Times New Roman"/>
                <w:b/>
                <w:bCs w:val="0"/>
                <w:sz w:val="24"/>
                <w:szCs w:val="24"/>
              </w:rPr>
              <w:t>试剂名称</w:t>
            </w:r>
          </w:p>
        </w:tc>
        <w:tc>
          <w:tcPr>
            <w:tcW w:w="1574" w:type="pct"/>
            <w:tcBorders>
              <w:bottom w:val="single" w:color="auto" w:sz="4" w:space="0"/>
            </w:tcBorders>
            <w:vAlign w:val="center"/>
          </w:tcPr>
          <w:p>
            <w:pPr>
              <w:pStyle w:val="60"/>
              <w:ind w:firstLine="482"/>
              <w:rPr>
                <w:rFonts w:ascii="Times New Roman" w:hAnsi="Times New Roman" w:cs="Times New Roman"/>
                <w:b/>
                <w:bCs w:val="0"/>
                <w:sz w:val="24"/>
                <w:szCs w:val="24"/>
              </w:rPr>
            </w:pPr>
            <w:r>
              <w:rPr>
                <w:rFonts w:ascii="Times New Roman" w:hAnsi="Times New Roman" w:cs="Times New Roman"/>
                <w:b/>
                <w:bCs w:val="0"/>
                <w:sz w:val="24"/>
                <w:szCs w:val="24"/>
              </w:rPr>
              <w:t>品牌</w:t>
            </w:r>
          </w:p>
        </w:tc>
        <w:tc>
          <w:tcPr>
            <w:tcW w:w="1415" w:type="pct"/>
            <w:tcBorders>
              <w:bottom w:val="single" w:color="auto" w:sz="4" w:space="0"/>
            </w:tcBorders>
            <w:vAlign w:val="center"/>
          </w:tcPr>
          <w:p>
            <w:pPr>
              <w:pStyle w:val="60"/>
              <w:ind w:firstLine="482"/>
              <w:rPr>
                <w:rFonts w:ascii="Times New Roman" w:hAnsi="Times New Roman" w:cs="Times New Roman"/>
                <w:b/>
                <w:bCs w:val="0"/>
                <w:sz w:val="24"/>
                <w:szCs w:val="24"/>
              </w:rPr>
            </w:pPr>
            <w:r>
              <w:rPr>
                <w:rFonts w:ascii="Times New Roman" w:hAnsi="Times New Roman" w:cs="Times New Roman"/>
                <w:b/>
                <w:bCs w:val="0"/>
                <w:sz w:val="24"/>
                <w:szCs w:val="24"/>
              </w:rPr>
              <w:t>货号</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lang w:val="zh-TW" w:eastAsia="zh-TW"/>
              </w:rPr>
            </w:pPr>
            <w:r>
              <w:rPr>
                <w:rFonts w:ascii="Times New Roman" w:hAnsi="Times New Roman" w:cs="Times New Roman"/>
                <w:sz w:val="24"/>
                <w:szCs w:val="24"/>
              </w:rPr>
              <w:t xml:space="preserve">DMEM高糖液体培养基 </w:t>
            </w:r>
          </w:p>
        </w:tc>
        <w:tc>
          <w:tcPr>
            <w:tcW w:w="1574" w:type="pct"/>
          </w:tcPr>
          <w:p>
            <w:pPr>
              <w:pStyle w:val="60"/>
              <w:ind w:firstLine="480"/>
              <w:rPr>
                <w:rFonts w:ascii="Times New Roman" w:hAnsi="Times New Roman" w:cs="Times New Roman"/>
                <w:sz w:val="24"/>
                <w:szCs w:val="24"/>
                <w:lang w:val="zh-TW" w:eastAsia="zh-TW"/>
              </w:rPr>
            </w:pPr>
            <w:r>
              <w:rPr>
                <w:rFonts w:ascii="Times New Roman" w:hAnsi="Times New Roman" w:cs="Times New Roman"/>
                <w:sz w:val="24"/>
                <w:szCs w:val="24"/>
              </w:rPr>
              <w:t>Biosharp</w:t>
            </w:r>
          </w:p>
        </w:tc>
        <w:tc>
          <w:tcPr>
            <w:tcW w:w="1415" w:type="pct"/>
          </w:tcPr>
          <w:p>
            <w:pPr>
              <w:pStyle w:val="60"/>
              <w:ind w:firstLine="480"/>
              <w:rPr>
                <w:rFonts w:ascii="Times New Roman" w:hAnsi="Times New Roman" w:cs="Times New Roman"/>
                <w:sz w:val="24"/>
                <w:szCs w:val="24"/>
              </w:rPr>
            </w:pPr>
            <w:r>
              <w:rPr>
                <w:rFonts w:ascii="Times New Roman" w:hAnsi="Times New Roman" w:cs="Times New Roman"/>
                <w:sz w:val="24"/>
                <w:szCs w:val="24"/>
              </w:rPr>
              <w:t>BL304A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CCK-8试剂盒</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1415" w:type="pct"/>
          </w:tcPr>
          <w:p>
            <w:pPr>
              <w:pStyle w:val="60"/>
              <w:ind w:firstLine="480"/>
              <w:rPr>
                <w:rFonts w:ascii="Times New Roman" w:hAnsi="Times New Roman" w:cs="Times New Roman"/>
                <w:sz w:val="24"/>
                <w:szCs w:val="24"/>
              </w:rPr>
            </w:pPr>
            <w:r>
              <w:rPr>
                <w:rFonts w:ascii="Times New Roman" w:hAnsi="Times New Roman" w:cs="Times New Roman"/>
                <w:sz w:val="24"/>
                <w:szCs w:val="24"/>
              </w:rPr>
              <w:t>BL1055A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胎牛血清（FBS）</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四季青</w:t>
            </w:r>
          </w:p>
        </w:tc>
        <w:tc>
          <w:tcPr>
            <w:tcW w:w="1415" w:type="pct"/>
          </w:tcPr>
          <w:p>
            <w:pPr>
              <w:pStyle w:val="60"/>
              <w:ind w:firstLine="480"/>
              <w:rPr>
                <w:rFonts w:ascii="Times New Roman" w:hAnsi="Times New Roman" w:cs="Times New Roman"/>
                <w:sz w:val="24"/>
                <w:szCs w:val="24"/>
              </w:rPr>
            </w:pPr>
            <w:r>
              <w:rPr>
                <w:rFonts w:ascii="Times New Roman" w:hAnsi="Times New Roman" w:cs="Times New Roman"/>
                <w:sz w:val="24"/>
                <w:szCs w:val="24"/>
              </w:rPr>
              <w:t>11011-8611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胰蛋白酶（Trypsin）</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1415" w:type="pct"/>
          </w:tcPr>
          <w:p>
            <w:pPr>
              <w:pStyle w:val="60"/>
              <w:ind w:firstLine="480"/>
              <w:rPr>
                <w:rFonts w:ascii="Times New Roman" w:hAnsi="Times New Roman" w:cs="Times New Roman"/>
                <w:sz w:val="24"/>
                <w:szCs w:val="24"/>
              </w:rPr>
            </w:pPr>
            <w:r>
              <w:rPr>
                <w:rFonts w:ascii="Times New Roman" w:hAnsi="Times New Roman" w:cs="Times New Roman"/>
                <w:sz w:val="24"/>
                <w:szCs w:val="24"/>
              </w:rPr>
              <w:t>BL526A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双抗（P/S）</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1415" w:type="pct"/>
          </w:tcPr>
          <w:p>
            <w:pPr>
              <w:pStyle w:val="60"/>
              <w:ind w:firstLine="480"/>
              <w:rPr>
                <w:rFonts w:ascii="Times New Roman" w:hAnsi="Times New Roman" w:cs="Times New Roman"/>
                <w:sz w:val="24"/>
                <w:szCs w:val="24"/>
              </w:rPr>
            </w:pPr>
            <w:r>
              <w:rPr>
                <w:rFonts w:ascii="Times New Roman" w:hAnsi="Times New Roman" w:cs="Times New Roman"/>
                <w:sz w:val="24"/>
                <w:szCs w:val="24"/>
              </w:rPr>
              <w:t>BL505A</w:t>
            </w:r>
          </w:p>
        </w:tc>
      </w:tr>
      <w:bookmarkEnd w:id="16"/>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磷酸盐缓冲液（PBS）</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BL316A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血球计数板</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Marienfeld</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650030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台盼蓝染色液(0.4%)</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BL627A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细胞培养瓶</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LABSELECT</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13112A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12孔培养板</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LABSELECT</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11210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0.22μm细菌过滤器</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BS-PES25-22-S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0" w:type="pct"/>
          </w:tcPr>
          <w:p>
            <w:pPr>
              <w:pStyle w:val="60"/>
              <w:ind w:firstLine="480"/>
              <w:rPr>
                <w:rFonts w:ascii="Times New Roman" w:hAnsi="Times New Roman" w:cs="Times New Roman"/>
                <w:sz w:val="24"/>
                <w:szCs w:val="24"/>
              </w:rPr>
            </w:pPr>
            <w:r>
              <w:rPr>
                <w:rFonts w:ascii="Times New Roman" w:hAnsi="Times New Roman" w:cs="Times New Roman"/>
                <w:sz w:val="24"/>
                <w:szCs w:val="24"/>
              </w:rPr>
              <w:t>移液器吸头</w:t>
            </w:r>
          </w:p>
        </w:tc>
        <w:tc>
          <w:tcPr>
            <w:tcW w:w="1574" w:type="pct"/>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BS-RT-1250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离心管</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Biosharp</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BS-15-M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小鼠IL-6试剂盒</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贝茵莱</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MU30044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IL-6一抗</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Affinity</w:t>
            </w:r>
          </w:p>
        </w:tc>
        <w:tc>
          <w:tcPr>
            <w:tcW w:w="0" w:type="auto"/>
          </w:tcPr>
          <w:p>
            <w:pPr>
              <w:pStyle w:val="60"/>
              <w:ind w:firstLine="480"/>
              <w:rPr>
                <w:rFonts w:ascii="Times New Roman" w:hAnsi="Times New Roman" w:cs="Times New Roman"/>
                <w:sz w:val="24"/>
                <w:szCs w:val="24"/>
              </w:rPr>
            </w:pPr>
            <w:r>
              <w:rPr>
                <w:rFonts w:ascii="Times New Roman" w:hAnsi="Times New Roman" w:cs="Times New Roman"/>
                <w:sz w:val="24"/>
                <w:szCs w:val="24"/>
              </w:rPr>
              <w:t>df6087</w:t>
            </w:r>
          </w:p>
        </w:tc>
      </w:tr>
    </w:tbl>
    <w:p>
      <w:pPr>
        <w:spacing w:line="380" w:lineRule="exact"/>
        <w:jc w:val="left"/>
        <w:rPr>
          <w:rFonts w:ascii="Times New Roman" w:hAnsi="Times New Roman"/>
          <w:sz w:val="24"/>
          <w:szCs w:val="24"/>
        </w:rPr>
      </w:pPr>
    </w:p>
    <w:p>
      <w:pPr>
        <w:pStyle w:val="2"/>
        <w:ind w:firstLine="723"/>
      </w:pPr>
      <w:bookmarkStart w:id="17" w:name="_Toc169253606"/>
      <w:r>
        <w:t>三、实验步骤</w:t>
      </w:r>
      <w:bookmarkEnd w:id="14"/>
      <w:bookmarkEnd w:id="15"/>
      <w:bookmarkEnd w:id="17"/>
    </w:p>
    <w:p>
      <w:pPr>
        <w:pStyle w:val="3"/>
        <w:ind w:firstLine="562"/>
      </w:pPr>
      <w:bookmarkStart w:id="18" w:name="_Toc169253607"/>
      <w:bookmarkStart w:id="19" w:name="_Toc30267"/>
      <w:bookmarkStart w:id="20" w:name="_Toc8937"/>
      <w:r>
        <w:t>1、细胞传代/换液</w:t>
      </w:r>
      <w:bookmarkEnd w:id="18"/>
    </w:p>
    <w:p>
      <w:pPr>
        <w:spacing w:line="360" w:lineRule="auto"/>
        <w:ind w:firstLine="480"/>
        <w:rPr>
          <w:rFonts w:ascii="Times New Roman" w:hAnsi="Times New Roman"/>
          <w:sz w:val="24"/>
          <w:szCs w:val="24"/>
        </w:rPr>
      </w:pPr>
      <w:r>
        <w:rPr>
          <w:rFonts w:ascii="Times New Roman" w:hAnsi="Times New Roman"/>
          <w:sz w:val="24"/>
          <w:szCs w:val="24"/>
        </w:rPr>
        <w:t>显微镜观察RAW264.7细胞状态，当细胞状态不好时，若是新复苏的细胞，需要5天后进行换液操作，若是传代的细胞，则需要立刻进行换液处理。若细胞状态良好，但细胞数量不足80%时，需要进行换液处理。若细胞状态良好，细胞生长至80%以上时，需要进行传代处理，具体传代比例根据细胞说明书或细胞生长情况而定。</w:t>
      </w:r>
    </w:p>
    <w:p>
      <w:pPr>
        <w:pStyle w:val="3"/>
        <w:ind w:firstLine="562"/>
      </w:pPr>
      <w:bookmarkStart w:id="21" w:name="_Toc169253608"/>
      <w:r>
        <w:t>2、细胞铺板</w:t>
      </w:r>
      <w:bookmarkEnd w:id="21"/>
    </w:p>
    <w:p>
      <w:pPr>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取处于对数生长期的RAW264.7细胞，根据RAW264.7细胞特性按照细胞传代的步骤消化成单细胞悬液并计数，按照5-10*105个细胞/孔接种于12孔培养板，需铺3块12孔板。孔板上记录细胞种类、铺板密度、铺板时间，培养过夜。</w:t>
      </w:r>
    </w:p>
    <w:p>
      <w:pPr>
        <w:pStyle w:val="3"/>
        <w:ind w:firstLine="562"/>
      </w:pPr>
      <w:bookmarkStart w:id="22" w:name="_Toc169253609"/>
      <w:r>
        <w:t>3、LPS刺激</w:t>
      </w:r>
      <w:bookmarkEnd w:id="22"/>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根据课题方案，按比例配制含不同浓度的LPS培养基：0μg/mL</w:t>
      </w:r>
      <w:r>
        <w:rPr>
          <w:rFonts w:hint="eastAsia" w:ascii="Times New Roman" w:hAnsi="Times New Roman"/>
          <w:sz w:val="24"/>
          <w:szCs w:val="24"/>
        </w:rPr>
        <w:t>、</w:t>
      </w:r>
      <w:r>
        <w:rPr>
          <w:rFonts w:ascii="Times New Roman" w:hAnsi="Times New Roman"/>
          <w:sz w:val="24"/>
          <w:szCs w:val="24"/>
        </w:rPr>
        <w:t>0.1μg/mL</w:t>
      </w:r>
      <w:r>
        <w:rPr>
          <w:rFonts w:hint="eastAsia" w:ascii="Times New Roman" w:hAnsi="Times New Roman"/>
          <w:sz w:val="24"/>
          <w:szCs w:val="24"/>
        </w:rPr>
        <w:t>、</w:t>
      </w:r>
      <w:r>
        <w:rPr>
          <w:rFonts w:ascii="Times New Roman" w:hAnsi="Times New Roman"/>
          <w:sz w:val="24"/>
          <w:szCs w:val="24"/>
        </w:rPr>
        <w:t>1μg/mL</w:t>
      </w:r>
      <w:r>
        <w:rPr>
          <w:rFonts w:hint="eastAsia" w:ascii="Times New Roman" w:hAnsi="Times New Roman"/>
          <w:sz w:val="24"/>
          <w:szCs w:val="24"/>
        </w:rPr>
        <w:t>、</w:t>
      </w:r>
      <w:r>
        <w:rPr>
          <w:rFonts w:ascii="Times New Roman" w:hAnsi="Times New Roman"/>
          <w:sz w:val="24"/>
          <w:szCs w:val="24"/>
        </w:rPr>
        <w:t>2μg/mL</w:t>
      </w:r>
      <w:r>
        <w:rPr>
          <w:rFonts w:hint="eastAsia" w:ascii="Times New Roman" w:hAnsi="Times New Roman"/>
          <w:sz w:val="24"/>
          <w:szCs w:val="24"/>
        </w:rPr>
        <w:t>、</w:t>
      </w:r>
      <w:r>
        <w:rPr>
          <w:rFonts w:ascii="Times New Roman" w:hAnsi="Times New Roman"/>
          <w:sz w:val="24"/>
          <w:szCs w:val="24"/>
        </w:rPr>
        <w:t>10μg/mL。将铺板过夜的RAW264.7细胞孔板内培养基换成对应的不同浓度的LPS培养基，孔板上标记每孔的药物浓度</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三块板分别在培养于15h、24h、48h时收集细胞上清液和细胞，用于测定细胞中炎症介质的相关指标；</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上清液检测白细胞介素6（IL-6）分泌水平。（具体详细操作根据不同试剂盒说明书操作细胞）。取各组细胞总蛋白，按照2 μg/孔浓度上样SDS-PAGE。转模后，采用affinity的IL-6，按1:2000稀释比过夜孵育，检测细胞IL-6表达水平。</w:t>
      </w:r>
    </w:p>
    <w:p>
      <w:pPr>
        <w:pStyle w:val="3"/>
        <w:ind w:firstLine="562"/>
      </w:pPr>
      <w:bookmarkStart w:id="23" w:name="_Toc169253610"/>
      <w:r>
        <w:t>4、结果展示</w:t>
      </w:r>
      <w:bookmarkEnd w:id="23"/>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根据实验室测试检测的ELISA和WB检测IL-6结果表明：</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0.01μg/mL处理15h时，上清中IL-6表达水平最高，但细胞中水平一般。μg/mL处理15h时，上清中IL-6表达水平一般，但细胞中水平最高。因此可建议客户用ELISA检测上清中IL-6时，采用0.01μg/mL处理15h左右的条件，而用WB检测细胞中IL-6时，采用1μg/mL处理15h左右的条件。</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低浓度诱导炎症模型在15h时，IL-6上清浓度最高，延长作用时间不升反降，空白组与加药组数值接近甚至更高，因此建议客户用ELISA检测上清中IL-6时，低浓度条件下不要诱导太长时间。</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w:t>
      </w:r>
      <w:r>
        <w:rPr>
          <w:rFonts w:ascii="Times New Roman" w:hAnsi="Times New Roman"/>
          <w:sz w:val="24"/>
          <w:szCs w:val="24"/>
        </w:rPr>
        <w:t>高浓度诱导炎症模型在24h之后，细胞中IL-6水平虽然会升高，但通过镜下细胞状态和实验内参情况，大部分细胞都已发生死亡，因此，WB检测细胞中IL-6时，1-2μg/mL处理24h可行，但不建议客户长时间大剂量的诱导。</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以上结论仅仅针对客户检测IL-6指标时作为凭证，其他指标（如核表达蛋白）还需进一步摸索。</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另外本次测试是采用新配置的LPS，不确定存储一段时间之后LPS效果是否发生改变，LPS长时间处于存储液状态时容易被塑料容器吸收导致实际浓度远小于理论值，因此针对某些客户大剂量LPS诱导也毫无效果的，可推荐客户使用新鲜配置的LPS重新造模。</w:t>
      </w:r>
    </w:p>
    <w:bookmarkEnd w:id="19"/>
    <w:bookmarkEnd w:id="20"/>
    <w:p>
      <w:pPr>
        <w:pStyle w:val="3"/>
        <w:ind w:firstLine="562"/>
      </w:pPr>
      <w:bookmarkStart w:id="24" w:name="_Toc169253611"/>
      <w:r>
        <w:t>5、其他检测方式</w:t>
      </w:r>
      <w:bookmarkEnd w:id="24"/>
    </w:p>
    <w:p>
      <w:pPr>
        <w:adjustRightInd w:val="0"/>
        <w:snapToGrid w:val="0"/>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ELISA用于检测细胞上清或血清中炎症因子的蛋白水平。例如IL-1β、IL-6、TNF-α等，使用相应的ELISA试剂盒进行量化。</w:t>
      </w:r>
    </w:p>
    <w:p>
      <w:pPr>
        <w:adjustRightInd w:val="0"/>
        <w:snapToGrid w:val="0"/>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qPCR（实时定量PCR）：用于检测细胞或组织样本中炎症因子mRNA的表达水平。可设计针对特定炎症因子的引物，如IL-1β、IL-6、TNF-α等。</w:t>
      </w:r>
    </w:p>
    <w:p>
      <w:pPr>
        <w:adjustRightInd w:val="0"/>
        <w:snapToGrid w:val="0"/>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w:t>
      </w:r>
      <w:r>
        <w:rPr>
          <w:rFonts w:ascii="Times New Roman" w:hAnsi="Times New Roman"/>
          <w:sz w:val="24"/>
          <w:szCs w:val="24"/>
        </w:rPr>
        <w:t>WesternBlot（蛋白印迹法）：用于检测炎症因子的蛋白表达情况以及与炎症相关的信号通路分子的磷酸化水平。常用抗体包括NF-κB、NLRP3、TNF-α、IL-6等。</w:t>
      </w:r>
    </w:p>
    <w:p>
      <w:pPr>
        <w:adjustRightInd w:val="0"/>
        <w:snapToGrid w:val="0"/>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4</w:t>
      </w:r>
      <w:r>
        <w:rPr>
          <w:rFonts w:hint="eastAsia" w:ascii="Times New Roman" w:hAnsi="Times New Roman"/>
          <w:sz w:val="24"/>
          <w:szCs w:val="24"/>
        </w:rPr>
        <w:t>）</w:t>
      </w:r>
      <w:r>
        <w:rPr>
          <w:rFonts w:ascii="Times New Roman" w:hAnsi="Times New Roman"/>
          <w:sz w:val="24"/>
          <w:szCs w:val="24"/>
        </w:rPr>
        <w:t>免疫荧光/免疫组化：免疫荧光或免疫组织化学染色可以观察炎症因子在细胞或组织中的定位和分布。适用于研究局部炎症环境中的细胞反应。</w:t>
      </w:r>
    </w:p>
    <w:p>
      <w:pPr>
        <w:adjustRightInd w:val="0"/>
        <w:snapToGrid w:val="0"/>
        <w:spacing w:line="440" w:lineRule="exact"/>
        <w:ind w:firstLine="480" w:firstLineChars="20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5</w:t>
      </w:r>
      <w:r>
        <w:rPr>
          <w:rFonts w:hint="eastAsia" w:ascii="Times New Roman" w:hAnsi="Times New Roman"/>
          <w:sz w:val="24"/>
          <w:szCs w:val="24"/>
        </w:rPr>
        <w:t>）</w:t>
      </w:r>
      <w:r>
        <w:rPr>
          <w:rFonts w:ascii="Times New Roman" w:hAnsi="Times New Roman"/>
          <w:sz w:val="24"/>
          <w:szCs w:val="24"/>
        </w:rPr>
        <w:t>流式细胞仪：可用于检测细胞表面或胞内炎症因子。例如，利用细胞因子染色的抗体检测单个细胞中IL-6、TNF-α等表达。</w:t>
      </w:r>
    </w:p>
    <w:sectPr>
      <w:headerReference r:id="rId5" w:type="first"/>
      <w:headerReference r:id="rId3" w:type="default"/>
      <w:footerReference r:id="rId6" w:type="default"/>
      <w:headerReference r:id="rId4" w:type="even"/>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720" w:firstLineChars="400"/>
      <w:rPr>
        <w:rFonts w:ascii="微软雅黑" w:hAnsi="微软雅黑" w:eastAsia="微软雅黑" w:cs="微软雅黑"/>
        <w:b/>
        <w:sz w:val="18"/>
        <w:szCs w:val="18"/>
      </w:rPr>
    </w:pPr>
    <w:r>
      <w:rPr>
        <w:rFonts w:hint="eastAsia" w:ascii="微软雅黑" w:hAnsi="微软雅黑" w:eastAsia="微软雅黑" w:cs="微软雅黑"/>
        <w:b/>
        <w:sz w:val="18"/>
        <w:szCs w:val="18"/>
      </w:rPr>
      <mc:AlternateContent>
        <mc:Choice Requires="wps">
          <w:drawing>
            <wp:anchor distT="0" distB="0" distL="114300" distR="114300" simplePos="0" relativeHeight="251664384" behindDoc="0" locked="0" layoutInCell="1" allowOverlap="1">
              <wp:simplePos x="0" y="0"/>
              <wp:positionH relativeFrom="column">
                <wp:posOffset>-379095</wp:posOffset>
              </wp:positionH>
              <wp:positionV relativeFrom="paragraph">
                <wp:posOffset>-635</wp:posOffset>
              </wp:positionV>
              <wp:extent cx="6638925" cy="28575"/>
              <wp:effectExtent l="0" t="7620" r="9525" b="20955"/>
              <wp:wrapSquare wrapText="bothSides"/>
              <wp:docPr id="9" name="直接连接符 9"/>
              <wp:cNvGraphicFramePr/>
              <a:graphic xmlns:a="http://schemas.openxmlformats.org/drawingml/2006/main">
                <a:graphicData uri="http://schemas.microsoft.com/office/word/2010/wordprocessingShape">
                  <wps:wsp>
                    <wps:cNvCnPr/>
                    <wps:spPr>
                      <a:xfrm>
                        <a:off x="0" y="0"/>
                        <a:ext cx="6638925" cy="2857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85pt;margin-top:-0.05pt;height:2.25pt;width:522.75pt;mso-wrap-distance-bottom:0pt;mso-wrap-distance-left:9pt;mso-wrap-distance-right:9pt;mso-wrap-distance-top:0pt;z-index:251664384;mso-width-relative:page;mso-height-relative:page;" filled="f" stroked="t" coordsize="21600,21600" o:gfxdata="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bZqk1wAAAAcBAAAPAAAAAAAAAAEAIAAAACIAAABkcnMvZG93bnJldi54bWxQSwECFAAUAAAA&#10;CACHTuJAsPqF9e8BAADdAwAADgAAAAAAAAABACAAAAAmAQAAZHJzL2Uyb0RvYy54bWxQSwUGAAAA&#10;AAYABgBZAQAAhwUAAAAA&#10;">
              <v:fill on="f" focussize="0,0"/>
              <v:stroke weight="1.25pt" color="#000000" joinstyle="round"/>
              <v:imagedata o:title=""/>
              <o:lock v:ext="edit" aspectratio="f"/>
              <w10:wrap type="square"/>
            </v:line>
          </w:pict>
        </mc:Fallback>
      </mc:AlternateContent>
    </w:r>
  </w:p>
  <w:p>
    <w:pPr>
      <w:pStyle w:val="9"/>
      <w:ind w:firstLine="300"/>
      <w:jc w:val="center"/>
    </w:pPr>
    <w:r>
      <w:rPr>
        <w:rFonts w:eastAsia="微软雅黑"/>
        <w:bCs/>
        <w:color w:val="A6A6A6" w:themeColor="background1" w:themeShade="A6"/>
        <w:sz w:val="15"/>
        <w:szCs w:val="15"/>
      </w:rPr>
      <w:t xml:space="preserve">电话：177-2982-5736            </w:t>
    </w:r>
    <w:r>
      <w:rPr>
        <w:rFonts w:hint="eastAsia" w:eastAsia="微软雅黑"/>
        <w:bCs/>
        <w:color w:val="A6A6A6" w:themeColor="background1" w:themeShade="A6"/>
        <w:sz w:val="15"/>
        <w:szCs w:val="15"/>
      </w:rPr>
      <w:t xml:space="preserve">         </w:t>
    </w:r>
    <w:r>
      <w:rPr>
        <w:rFonts w:eastAsia="微软雅黑"/>
        <w:bCs/>
        <w:color w:val="A6A6A6" w:themeColor="background1" w:themeShade="A6"/>
        <w:sz w:val="15"/>
        <w:szCs w:val="15"/>
      </w:rPr>
      <w:t xml:space="preserve">   座机：028- 65735060                         公司网址： http://www.cdacsw.cn</w:t>
    </w:r>
    <w: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2336;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1312;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jc w:val="both"/>
    </w:pPr>
    <w:r>
      <mc:AlternateContent>
        <mc:Choice Requires="wps">
          <w:drawing>
            <wp:anchor distT="0" distB="0" distL="114300" distR="114300" simplePos="0" relativeHeight="251665408" behindDoc="0" locked="0" layoutInCell="1" allowOverlap="1">
              <wp:simplePos x="0" y="0"/>
              <wp:positionH relativeFrom="column">
                <wp:posOffset>4029075</wp:posOffset>
              </wp:positionH>
              <wp:positionV relativeFrom="paragraph">
                <wp:posOffset>38100</wp:posOffset>
              </wp:positionV>
              <wp:extent cx="1866900" cy="339725"/>
              <wp:effectExtent l="0" t="0" r="12700" b="15875"/>
              <wp:wrapNone/>
              <wp:docPr id="157084511" name="文本框 157084511"/>
              <wp:cNvGraphicFramePr/>
              <a:graphic xmlns:a="http://schemas.openxmlformats.org/drawingml/2006/main">
                <a:graphicData uri="http://schemas.microsoft.com/office/word/2010/wordprocessingShape">
                  <wps:wsp>
                    <wps:cNvSpPr txBox="1"/>
                    <wps:spPr>
                      <a:xfrm>
                        <a:off x="0" y="0"/>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rFonts w:asciiTheme="majorEastAsia" w:hAnsiTheme="majorEastAsia" w:eastAsiaTheme="majorEastAsia"/>
                              <w:sz w:val="16"/>
                              <w:szCs w:val="16"/>
                            </w:rPr>
                          </w:pPr>
                          <w:r>
                            <w:rPr>
                              <w:rFonts w:hint="eastAsia" w:cs="微软雅黑" w:asciiTheme="majorEastAsia" w:hAnsiTheme="majorEastAsia" w:eastAsiaTheme="majorEastAsia"/>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25pt;margin-top:3pt;height:26.75pt;width:147pt;z-index:251665408;mso-width-relative:page;mso-height-relative:page;" fillcolor="#FFFFFF [3201]" filled="t" stroked="f" coordsize="21600,21600" o:gfxdata="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VHh7/UAAAACAEA&#10;AA8AAAAAAAAAAQAgAAAAIgAAAGRycy9kb3ducmV2LnhtbFBLAQIUABQAAAAIAIdO4kAAnT1EVwIA&#10;AJ8EAAAOAAAAAAAAAAEAIAAAACMBAABkcnMvZTJvRG9jLnhtbFBLBQYAAAAABgAGAFkBAADsBQAA&#10;AAA=&#10;">
              <v:fill on="t" focussize="0,0"/>
              <v:stroke on="f" weight="0.5pt"/>
              <v:imagedata o:title=""/>
              <o:lock v:ext="edit" aspectratio="f"/>
              <v:textbox>
                <w:txbxContent>
                  <w:p>
                    <w:pPr>
                      <w:spacing w:before="120" w:beforeLines="50" w:after="120" w:afterLines="50"/>
                      <w:jc w:val="distribute"/>
                      <w:rPr>
                        <w:rFonts w:asciiTheme="majorEastAsia" w:hAnsiTheme="majorEastAsia" w:eastAsiaTheme="majorEastAsia"/>
                        <w:sz w:val="16"/>
                        <w:szCs w:val="16"/>
                      </w:rPr>
                    </w:pPr>
                    <w:r>
                      <w:rPr>
                        <w:rFonts w:hint="eastAsia" w:cs="微软雅黑" w:asciiTheme="majorEastAsia" w:hAnsiTheme="majorEastAsia" w:eastAsiaTheme="majorEastAsia"/>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554100583" name="图片 554100583"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00583" name="图片 554100583"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right w:val="none" w:color="auto" w:sz="0" w:space="0"/>
        <w:between w:val="none" w:color="auto" w:sz="0" w:space="0"/>
      </w:pBdr>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2814320" cy="1114425"/>
          <wp:effectExtent l="0" t="0" r="5080" b="8890"/>
          <wp:wrapNone/>
          <wp:docPr id="22668004" name="WordPictureWatermark3594860" descr="Siwe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004" name="WordPictureWatermark3594860" descr="Siwega2"/>
                  <pic:cNvPicPr>
                    <a:picLocks noChangeAspect="1"/>
                  </pic:cNvPicPr>
                </pic:nvPicPr>
                <pic:blipFill>
                  <a:blip r:embed="rId1">
                    <a:lum bright="70001" contrast="-70000"/>
                  </a:blip>
                  <a:stretch>
                    <a:fillRect/>
                  </a:stretch>
                </pic:blipFill>
                <pic:spPr>
                  <a:xfrm>
                    <a:off x="0" y="0"/>
                    <a:ext cx="2814320" cy="111442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jc w:val="both"/>
    </w:pPr>
    <w:r>
      <w:rPr>
        <w:rFonts w:hint="eastAsia"/>
      </w:rPr>
      <w:drawing>
        <wp:inline distT="0" distB="0" distL="114300" distR="114300">
          <wp:extent cx="1514475" cy="439420"/>
          <wp:effectExtent l="0" t="0" r="0" b="0"/>
          <wp:docPr id="2002873683" name="图片 2002873683" descr="公司条状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73683" name="图片 2002873683" descr="公司条状LOGO"/>
                  <pic:cNvPicPr>
                    <a:picLocks noChangeAspect="1"/>
                  </pic:cNvPicPr>
                </pic:nvPicPr>
                <pic:blipFill>
                  <a:blip r:embed="rId1"/>
                  <a:stretch>
                    <a:fillRect/>
                  </a:stretch>
                </pic:blipFill>
                <pic:spPr>
                  <a:xfrm>
                    <a:off x="0" y="0"/>
                    <a:ext cx="1514475" cy="4394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6EA402"/>
    <w:multiLevelType w:val="singleLevel"/>
    <w:tmpl w:val="EB6EA402"/>
    <w:lvl w:ilvl="0" w:tentative="0">
      <w:start w:val="2"/>
      <w:numFmt w:val="chineseCounting"/>
      <w:suff w:val="nothing"/>
      <w:lvlText w:val="%1、"/>
      <w:lvlJc w:val="left"/>
      <w:rPr>
        <w:rFonts w:hint="eastAsia"/>
      </w:rPr>
    </w:lvl>
  </w:abstractNum>
  <w:abstractNum w:abstractNumId="1">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FF08C7"/>
    <w:rsid w:val="00015402"/>
    <w:rsid w:val="000154A7"/>
    <w:rsid w:val="00020771"/>
    <w:rsid w:val="00022BE1"/>
    <w:rsid w:val="00027E30"/>
    <w:rsid w:val="000346AA"/>
    <w:rsid w:val="00042CFA"/>
    <w:rsid w:val="00044722"/>
    <w:rsid w:val="00044BBA"/>
    <w:rsid w:val="00044E03"/>
    <w:rsid w:val="00046AE8"/>
    <w:rsid w:val="00046F2A"/>
    <w:rsid w:val="0005499D"/>
    <w:rsid w:val="000549BC"/>
    <w:rsid w:val="0005736D"/>
    <w:rsid w:val="00057B1B"/>
    <w:rsid w:val="00065FD1"/>
    <w:rsid w:val="0007214D"/>
    <w:rsid w:val="000724DB"/>
    <w:rsid w:val="0008097C"/>
    <w:rsid w:val="00080C88"/>
    <w:rsid w:val="000826F5"/>
    <w:rsid w:val="00084417"/>
    <w:rsid w:val="00087642"/>
    <w:rsid w:val="00097A4C"/>
    <w:rsid w:val="00097B8C"/>
    <w:rsid w:val="000A3485"/>
    <w:rsid w:val="000A3772"/>
    <w:rsid w:val="000B1188"/>
    <w:rsid w:val="000B6017"/>
    <w:rsid w:val="000B7194"/>
    <w:rsid w:val="000B71BB"/>
    <w:rsid w:val="000B7DF9"/>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E69"/>
    <w:rsid w:val="001E0BD3"/>
    <w:rsid w:val="001E37D9"/>
    <w:rsid w:val="001E6C82"/>
    <w:rsid w:val="001F0320"/>
    <w:rsid w:val="001F3428"/>
    <w:rsid w:val="001F35E4"/>
    <w:rsid w:val="001F38D1"/>
    <w:rsid w:val="00207399"/>
    <w:rsid w:val="00210D39"/>
    <w:rsid w:val="00210EAB"/>
    <w:rsid w:val="002141D3"/>
    <w:rsid w:val="00214DE5"/>
    <w:rsid w:val="00225E49"/>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23B4F"/>
    <w:rsid w:val="00332EAA"/>
    <w:rsid w:val="003361FD"/>
    <w:rsid w:val="003407C3"/>
    <w:rsid w:val="00340A34"/>
    <w:rsid w:val="0034395E"/>
    <w:rsid w:val="00350F48"/>
    <w:rsid w:val="00352148"/>
    <w:rsid w:val="00357C96"/>
    <w:rsid w:val="0036077E"/>
    <w:rsid w:val="00362875"/>
    <w:rsid w:val="0036290A"/>
    <w:rsid w:val="0037119B"/>
    <w:rsid w:val="003736A9"/>
    <w:rsid w:val="00380381"/>
    <w:rsid w:val="00380A15"/>
    <w:rsid w:val="00382E9F"/>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E440C"/>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93315"/>
    <w:rsid w:val="0069447D"/>
    <w:rsid w:val="006959D3"/>
    <w:rsid w:val="00697181"/>
    <w:rsid w:val="006A1E41"/>
    <w:rsid w:val="006A46BF"/>
    <w:rsid w:val="006A48E4"/>
    <w:rsid w:val="006A75A8"/>
    <w:rsid w:val="006A77C5"/>
    <w:rsid w:val="006B33C1"/>
    <w:rsid w:val="006B63C4"/>
    <w:rsid w:val="006C1EB0"/>
    <w:rsid w:val="006D0F2F"/>
    <w:rsid w:val="006D64F0"/>
    <w:rsid w:val="006D673D"/>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62A4A"/>
    <w:rsid w:val="00763999"/>
    <w:rsid w:val="007666D5"/>
    <w:rsid w:val="00767AD5"/>
    <w:rsid w:val="007718C1"/>
    <w:rsid w:val="007748F9"/>
    <w:rsid w:val="00777095"/>
    <w:rsid w:val="00787EEC"/>
    <w:rsid w:val="00791A7A"/>
    <w:rsid w:val="007A17D4"/>
    <w:rsid w:val="007A1C8D"/>
    <w:rsid w:val="007A5976"/>
    <w:rsid w:val="007A64C5"/>
    <w:rsid w:val="007A6BB6"/>
    <w:rsid w:val="007B1F12"/>
    <w:rsid w:val="007B4350"/>
    <w:rsid w:val="007B6D73"/>
    <w:rsid w:val="007B7484"/>
    <w:rsid w:val="007D736C"/>
    <w:rsid w:val="007E1EC8"/>
    <w:rsid w:val="007F07F3"/>
    <w:rsid w:val="007F1BD5"/>
    <w:rsid w:val="00807AA0"/>
    <w:rsid w:val="008112CC"/>
    <w:rsid w:val="008112EB"/>
    <w:rsid w:val="0081646F"/>
    <w:rsid w:val="0081675B"/>
    <w:rsid w:val="00816DF6"/>
    <w:rsid w:val="00822136"/>
    <w:rsid w:val="008314FB"/>
    <w:rsid w:val="008332AA"/>
    <w:rsid w:val="008370DC"/>
    <w:rsid w:val="008400C8"/>
    <w:rsid w:val="00840CDA"/>
    <w:rsid w:val="00844914"/>
    <w:rsid w:val="00845CD8"/>
    <w:rsid w:val="008472B9"/>
    <w:rsid w:val="008531B2"/>
    <w:rsid w:val="00853897"/>
    <w:rsid w:val="00856D10"/>
    <w:rsid w:val="0087400B"/>
    <w:rsid w:val="008957E0"/>
    <w:rsid w:val="008A2FB7"/>
    <w:rsid w:val="008A373A"/>
    <w:rsid w:val="008A478B"/>
    <w:rsid w:val="008A4CF3"/>
    <w:rsid w:val="008A7B74"/>
    <w:rsid w:val="008B392A"/>
    <w:rsid w:val="008B422A"/>
    <w:rsid w:val="008B482C"/>
    <w:rsid w:val="008B67DF"/>
    <w:rsid w:val="008C4890"/>
    <w:rsid w:val="008D031F"/>
    <w:rsid w:val="008D334F"/>
    <w:rsid w:val="008D6187"/>
    <w:rsid w:val="008D7292"/>
    <w:rsid w:val="008D7E9A"/>
    <w:rsid w:val="008E3F78"/>
    <w:rsid w:val="008E5057"/>
    <w:rsid w:val="008F39A6"/>
    <w:rsid w:val="00900EDB"/>
    <w:rsid w:val="00903F79"/>
    <w:rsid w:val="00905903"/>
    <w:rsid w:val="00917E6D"/>
    <w:rsid w:val="00920FA4"/>
    <w:rsid w:val="00921C94"/>
    <w:rsid w:val="0092268E"/>
    <w:rsid w:val="009257D2"/>
    <w:rsid w:val="009264D1"/>
    <w:rsid w:val="009309B5"/>
    <w:rsid w:val="0093110C"/>
    <w:rsid w:val="00935D12"/>
    <w:rsid w:val="009407D5"/>
    <w:rsid w:val="00953687"/>
    <w:rsid w:val="009549A8"/>
    <w:rsid w:val="009645E4"/>
    <w:rsid w:val="00970B8D"/>
    <w:rsid w:val="00980704"/>
    <w:rsid w:val="009810DB"/>
    <w:rsid w:val="00983245"/>
    <w:rsid w:val="00983F91"/>
    <w:rsid w:val="0099039E"/>
    <w:rsid w:val="00991E10"/>
    <w:rsid w:val="00993E56"/>
    <w:rsid w:val="00994346"/>
    <w:rsid w:val="00996E52"/>
    <w:rsid w:val="009A6983"/>
    <w:rsid w:val="009A7081"/>
    <w:rsid w:val="009B0562"/>
    <w:rsid w:val="009B3743"/>
    <w:rsid w:val="009C22BF"/>
    <w:rsid w:val="009D028E"/>
    <w:rsid w:val="009D302D"/>
    <w:rsid w:val="009D3426"/>
    <w:rsid w:val="009D35C4"/>
    <w:rsid w:val="009D4C2A"/>
    <w:rsid w:val="009E06BB"/>
    <w:rsid w:val="009E1C8C"/>
    <w:rsid w:val="009E1D44"/>
    <w:rsid w:val="009E34C1"/>
    <w:rsid w:val="009E5B9C"/>
    <w:rsid w:val="009E5D9B"/>
    <w:rsid w:val="009E605A"/>
    <w:rsid w:val="009E6CE9"/>
    <w:rsid w:val="009E7EEA"/>
    <w:rsid w:val="00A061B5"/>
    <w:rsid w:val="00A06DC4"/>
    <w:rsid w:val="00A06EE2"/>
    <w:rsid w:val="00A13458"/>
    <w:rsid w:val="00A15638"/>
    <w:rsid w:val="00A20370"/>
    <w:rsid w:val="00A206B6"/>
    <w:rsid w:val="00A22822"/>
    <w:rsid w:val="00A267D1"/>
    <w:rsid w:val="00A311E0"/>
    <w:rsid w:val="00A3301F"/>
    <w:rsid w:val="00A33BEB"/>
    <w:rsid w:val="00A40BE0"/>
    <w:rsid w:val="00A45FE9"/>
    <w:rsid w:val="00A52147"/>
    <w:rsid w:val="00A564B6"/>
    <w:rsid w:val="00A652FA"/>
    <w:rsid w:val="00A66DDC"/>
    <w:rsid w:val="00A67B3C"/>
    <w:rsid w:val="00A74917"/>
    <w:rsid w:val="00A76FE9"/>
    <w:rsid w:val="00A8393C"/>
    <w:rsid w:val="00A85BFC"/>
    <w:rsid w:val="00A878DC"/>
    <w:rsid w:val="00A965FB"/>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06E9"/>
    <w:rsid w:val="00B65315"/>
    <w:rsid w:val="00B72C31"/>
    <w:rsid w:val="00B76395"/>
    <w:rsid w:val="00B82B6C"/>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E1541"/>
    <w:rsid w:val="00CE2228"/>
    <w:rsid w:val="00CE400C"/>
    <w:rsid w:val="00CE4200"/>
    <w:rsid w:val="00CE63AD"/>
    <w:rsid w:val="00CE6C94"/>
    <w:rsid w:val="00CE7C2B"/>
    <w:rsid w:val="00CF13F1"/>
    <w:rsid w:val="00CF26F3"/>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390B"/>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3543"/>
    <w:rsid w:val="00DB4D31"/>
    <w:rsid w:val="00DB5835"/>
    <w:rsid w:val="00DB5E16"/>
    <w:rsid w:val="00DC1854"/>
    <w:rsid w:val="00DC529A"/>
    <w:rsid w:val="00DC6B04"/>
    <w:rsid w:val="00DD3EAA"/>
    <w:rsid w:val="00DD5142"/>
    <w:rsid w:val="00DD7A7F"/>
    <w:rsid w:val="00DE5F34"/>
    <w:rsid w:val="00DF4EFD"/>
    <w:rsid w:val="00DF5803"/>
    <w:rsid w:val="00DF6621"/>
    <w:rsid w:val="00E061EE"/>
    <w:rsid w:val="00E11813"/>
    <w:rsid w:val="00E20139"/>
    <w:rsid w:val="00E21F42"/>
    <w:rsid w:val="00E220ED"/>
    <w:rsid w:val="00E23549"/>
    <w:rsid w:val="00E27EBD"/>
    <w:rsid w:val="00E31DCC"/>
    <w:rsid w:val="00E4119A"/>
    <w:rsid w:val="00E4482F"/>
    <w:rsid w:val="00E50F0C"/>
    <w:rsid w:val="00E5589C"/>
    <w:rsid w:val="00E60D9C"/>
    <w:rsid w:val="00E671D3"/>
    <w:rsid w:val="00E717E7"/>
    <w:rsid w:val="00E764E6"/>
    <w:rsid w:val="00E7726C"/>
    <w:rsid w:val="00E80B22"/>
    <w:rsid w:val="00E836FB"/>
    <w:rsid w:val="00E83A31"/>
    <w:rsid w:val="00E8452C"/>
    <w:rsid w:val="00E903B2"/>
    <w:rsid w:val="00EA2E5D"/>
    <w:rsid w:val="00EA429E"/>
    <w:rsid w:val="00EB6D64"/>
    <w:rsid w:val="00EC29EA"/>
    <w:rsid w:val="00EC5AC6"/>
    <w:rsid w:val="00EC71E9"/>
    <w:rsid w:val="00ED00AC"/>
    <w:rsid w:val="00ED065C"/>
    <w:rsid w:val="00EE090B"/>
    <w:rsid w:val="00EE727D"/>
    <w:rsid w:val="00EE72F5"/>
    <w:rsid w:val="00EF65BB"/>
    <w:rsid w:val="00EF6DEE"/>
    <w:rsid w:val="00F0488E"/>
    <w:rsid w:val="00F13D52"/>
    <w:rsid w:val="00F149B1"/>
    <w:rsid w:val="00F16615"/>
    <w:rsid w:val="00F209FF"/>
    <w:rsid w:val="00F24829"/>
    <w:rsid w:val="00F24EDC"/>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2475"/>
    <w:rsid w:val="00F7316C"/>
    <w:rsid w:val="00F73AC0"/>
    <w:rsid w:val="00F80552"/>
    <w:rsid w:val="00F811A7"/>
    <w:rsid w:val="00F8185C"/>
    <w:rsid w:val="00FA04E9"/>
    <w:rsid w:val="00FA1E10"/>
    <w:rsid w:val="00FA3198"/>
    <w:rsid w:val="00FA3C63"/>
    <w:rsid w:val="00FA71B4"/>
    <w:rsid w:val="00FB124C"/>
    <w:rsid w:val="00FB5593"/>
    <w:rsid w:val="00FC3F57"/>
    <w:rsid w:val="00FD0A79"/>
    <w:rsid w:val="00FD5348"/>
    <w:rsid w:val="00FE0E6D"/>
    <w:rsid w:val="00FE588E"/>
    <w:rsid w:val="00FE7849"/>
    <w:rsid w:val="00FE7BE8"/>
    <w:rsid w:val="00FF064B"/>
    <w:rsid w:val="00FF08C7"/>
    <w:rsid w:val="00FF1554"/>
    <w:rsid w:val="00FF332B"/>
    <w:rsid w:val="01233A9E"/>
    <w:rsid w:val="02532161"/>
    <w:rsid w:val="027A77C1"/>
    <w:rsid w:val="028F491F"/>
    <w:rsid w:val="038D01FD"/>
    <w:rsid w:val="03BD3D36"/>
    <w:rsid w:val="03D2448F"/>
    <w:rsid w:val="041D2C9D"/>
    <w:rsid w:val="04455207"/>
    <w:rsid w:val="0450700B"/>
    <w:rsid w:val="04517A58"/>
    <w:rsid w:val="0490311A"/>
    <w:rsid w:val="04BE23A5"/>
    <w:rsid w:val="04BF3B56"/>
    <w:rsid w:val="04EF6F26"/>
    <w:rsid w:val="058802DD"/>
    <w:rsid w:val="05FD3B43"/>
    <w:rsid w:val="06484E98"/>
    <w:rsid w:val="06556E39"/>
    <w:rsid w:val="06E83375"/>
    <w:rsid w:val="06EF6A97"/>
    <w:rsid w:val="07913D3D"/>
    <w:rsid w:val="07B371BD"/>
    <w:rsid w:val="07DC617E"/>
    <w:rsid w:val="07E14125"/>
    <w:rsid w:val="085B3E0D"/>
    <w:rsid w:val="088210AA"/>
    <w:rsid w:val="08CA17C6"/>
    <w:rsid w:val="08EA6A22"/>
    <w:rsid w:val="09154EB8"/>
    <w:rsid w:val="094C4341"/>
    <w:rsid w:val="09645BFD"/>
    <w:rsid w:val="09C47861"/>
    <w:rsid w:val="0A045AE0"/>
    <w:rsid w:val="0A5D72DC"/>
    <w:rsid w:val="0AB945A1"/>
    <w:rsid w:val="0B5036E2"/>
    <w:rsid w:val="0B8C31F9"/>
    <w:rsid w:val="0BF202F5"/>
    <w:rsid w:val="0D1F336B"/>
    <w:rsid w:val="0D2E7A52"/>
    <w:rsid w:val="0E9D6BBB"/>
    <w:rsid w:val="0EC56195"/>
    <w:rsid w:val="0ECE0394"/>
    <w:rsid w:val="0EFA5E48"/>
    <w:rsid w:val="0F326BA0"/>
    <w:rsid w:val="0F331EE7"/>
    <w:rsid w:val="0F841987"/>
    <w:rsid w:val="0F9D0EBF"/>
    <w:rsid w:val="10525806"/>
    <w:rsid w:val="11AB095A"/>
    <w:rsid w:val="11B8707C"/>
    <w:rsid w:val="11C1709B"/>
    <w:rsid w:val="13136145"/>
    <w:rsid w:val="135F33F5"/>
    <w:rsid w:val="14027288"/>
    <w:rsid w:val="140C23A5"/>
    <w:rsid w:val="14D2562C"/>
    <w:rsid w:val="14FA59C9"/>
    <w:rsid w:val="15271326"/>
    <w:rsid w:val="162A33A1"/>
    <w:rsid w:val="1649519F"/>
    <w:rsid w:val="16913178"/>
    <w:rsid w:val="16FF6615"/>
    <w:rsid w:val="17002DF8"/>
    <w:rsid w:val="170B670F"/>
    <w:rsid w:val="17125CEF"/>
    <w:rsid w:val="174C337B"/>
    <w:rsid w:val="17557CB9"/>
    <w:rsid w:val="18AA7BF5"/>
    <w:rsid w:val="18AB0A17"/>
    <w:rsid w:val="192E4AE6"/>
    <w:rsid w:val="193D1DD2"/>
    <w:rsid w:val="199F6A4B"/>
    <w:rsid w:val="19AB6E72"/>
    <w:rsid w:val="1A197394"/>
    <w:rsid w:val="1A7306A9"/>
    <w:rsid w:val="1AAC634A"/>
    <w:rsid w:val="1AB145E1"/>
    <w:rsid w:val="1AC255F3"/>
    <w:rsid w:val="1AE90104"/>
    <w:rsid w:val="1B0A5D65"/>
    <w:rsid w:val="1B3F285C"/>
    <w:rsid w:val="1C1856EB"/>
    <w:rsid w:val="1CB440FB"/>
    <w:rsid w:val="1D2D43D9"/>
    <w:rsid w:val="1D781EA3"/>
    <w:rsid w:val="1E630C0C"/>
    <w:rsid w:val="1E8539B9"/>
    <w:rsid w:val="1F4629DA"/>
    <w:rsid w:val="1F6B0692"/>
    <w:rsid w:val="1F734EFF"/>
    <w:rsid w:val="1F775289"/>
    <w:rsid w:val="1FB07714"/>
    <w:rsid w:val="1FBE71E9"/>
    <w:rsid w:val="20282FFF"/>
    <w:rsid w:val="207D067D"/>
    <w:rsid w:val="214243E3"/>
    <w:rsid w:val="21E65B6A"/>
    <w:rsid w:val="227125E2"/>
    <w:rsid w:val="228F5AC2"/>
    <w:rsid w:val="22E5658B"/>
    <w:rsid w:val="22ED7C37"/>
    <w:rsid w:val="233139A1"/>
    <w:rsid w:val="239E442A"/>
    <w:rsid w:val="247B4B8D"/>
    <w:rsid w:val="249124AC"/>
    <w:rsid w:val="249366E0"/>
    <w:rsid w:val="24C55C43"/>
    <w:rsid w:val="24EA38CC"/>
    <w:rsid w:val="25235B93"/>
    <w:rsid w:val="25496246"/>
    <w:rsid w:val="25583467"/>
    <w:rsid w:val="255A0FD7"/>
    <w:rsid w:val="256300DD"/>
    <w:rsid w:val="25E360C2"/>
    <w:rsid w:val="25F26CE2"/>
    <w:rsid w:val="261F4ABE"/>
    <w:rsid w:val="263F27D1"/>
    <w:rsid w:val="267C4EC5"/>
    <w:rsid w:val="269404CF"/>
    <w:rsid w:val="27017D1F"/>
    <w:rsid w:val="27AC402D"/>
    <w:rsid w:val="27B02D51"/>
    <w:rsid w:val="28117266"/>
    <w:rsid w:val="28C747BD"/>
    <w:rsid w:val="28CD5F1A"/>
    <w:rsid w:val="294A00E2"/>
    <w:rsid w:val="294A756A"/>
    <w:rsid w:val="29876764"/>
    <w:rsid w:val="29E54C96"/>
    <w:rsid w:val="29F923D7"/>
    <w:rsid w:val="2A1E705A"/>
    <w:rsid w:val="2A6E72C4"/>
    <w:rsid w:val="2AF21C5F"/>
    <w:rsid w:val="2AFD6FC6"/>
    <w:rsid w:val="2B6A3B8F"/>
    <w:rsid w:val="2BEE3F9F"/>
    <w:rsid w:val="2C0C4FAB"/>
    <w:rsid w:val="2C7C7E93"/>
    <w:rsid w:val="2C90767E"/>
    <w:rsid w:val="2CE33F5E"/>
    <w:rsid w:val="2D2307FE"/>
    <w:rsid w:val="2D3F6270"/>
    <w:rsid w:val="2D4F5C5E"/>
    <w:rsid w:val="2DC91D7E"/>
    <w:rsid w:val="2E106463"/>
    <w:rsid w:val="2EE93F55"/>
    <w:rsid w:val="2F024A8F"/>
    <w:rsid w:val="2F2B080B"/>
    <w:rsid w:val="2F453924"/>
    <w:rsid w:val="2F57341F"/>
    <w:rsid w:val="2FC76DA5"/>
    <w:rsid w:val="306A53C9"/>
    <w:rsid w:val="306A5A65"/>
    <w:rsid w:val="30D04760"/>
    <w:rsid w:val="30DF64CF"/>
    <w:rsid w:val="311A06DB"/>
    <w:rsid w:val="317B137B"/>
    <w:rsid w:val="31A524C4"/>
    <w:rsid w:val="332E2F29"/>
    <w:rsid w:val="33490893"/>
    <w:rsid w:val="33EA5BD2"/>
    <w:rsid w:val="340A7DC1"/>
    <w:rsid w:val="34503692"/>
    <w:rsid w:val="34E24AFB"/>
    <w:rsid w:val="36050E9C"/>
    <w:rsid w:val="365D6B2F"/>
    <w:rsid w:val="367A7D64"/>
    <w:rsid w:val="370412B7"/>
    <w:rsid w:val="374769F9"/>
    <w:rsid w:val="375717D0"/>
    <w:rsid w:val="37B02C8E"/>
    <w:rsid w:val="37B72FAF"/>
    <w:rsid w:val="384A4E91"/>
    <w:rsid w:val="387151C2"/>
    <w:rsid w:val="393668FD"/>
    <w:rsid w:val="395F436A"/>
    <w:rsid w:val="39637B15"/>
    <w:rsid w:val="39DF12B1"/>
    <w:rsid w:val="39EA77DB"/>
    <w:rsid w:val="3A8D5509"/>
    <w:rsid w:val="3A9E14C4"/>
    <w:rsid w:val="3BA879C6"/>
    <w:rsid w:val="3BB84F93"/>
    <w:rsid w:val="3D580050"/>
    <w:rsid w:val="3D5B18EE"/>
    <w:rsid w:val="3DE53B38"/>
    <w:rsid w:val="3E23681F"/>
    <w:rsid w:val="3ED701DB"/>
    <w:rsid w:val="3EFE56CE"/>
    <w:rsid w:val="3F963152"/>
    <w:rsid w:val="40257BBA"/>
    <w:rsid w:val="406B0613"/>
    <w:rsid w:val="40C96B6F"/>
    <w:rsid w:val="40CF0629"/>
    <w:rsid w:val="413D193E"/>
    <w:rsid w:val="41E53E7C"/>
    <w:rsid w:val="41EA6017"/>
    <w:rsid w:val="42107BEE"/>
    <w:rsid w:val="42620242"/>
    <w:rsid w:val="426C1B24"/>
    <w:rsid w:val="428B7C8E"/>
    <w:rsid w:val="42A51C96"/>
    <w:rsid w:val="42EE0B0F"/>
    <w:rsid w:val="439353EE"/>
    <w:rsid w:val="444B012A"/>
    <w:rsid w:val="44FD328B"/>
    <w:rsid w:val="4597370E"/>
    <w:rsid w:val="46CD560B"/>
    <w:rsid w:val="46E666CD"/>
    <w:rsid w:val="47804A75"/>
    <w:rsid w:val="479E4324"/>
    <w:rsid w:val="482C4A17"/>
    <w:rsid w:val="485208D2"/>
    <w:rsid w:val="48D92DDC"/>
    <w:rsid w:val="49735CE2"/>
    <w:rsid w:val="4AB34B18"/>
    <w:rsid w:val="4B114295"/>
    <w:rsid w:val="4B12476D"/>
    <w:rsid w:val="4B154B9B"/>
    <w:rsid w:val="4B7655EE"/>
    <w:rsid w:val="4C0814C4"/>
    <w:rsid w:val="4C9F0FD7"/>
    <w:rsid w:val="4CD70D65"/>
    <w:rsid w:val="4D3F08E5"/>
    <w:rsid w:val="4D453A21"/>
    <w:rsid w:val="4D7549E6"/>
    <w:rsid w:val="4D901140"/>
    <w:rsid w:val="4E5959D6"/>
    <w:rsid w:val="4EF83B47"/>
    <w:rsid w:val="4FAF27B1"/>
    <w:rsid w:val="4FD82DAE"/>
    <w:rsid w:val="4FFA6B7D"/>
    <w:rsid w:val="501D3E00"/>
    <w:rsid w:val="503F0BFC"/>
    <w:rsid w:val="50F43794"/>
    <w:rsid w:val="51002139"/>
    <w:rsid w:val="512A365A"/>
    <w:rsid w:val="5167665C"/>
    <w:rsid w:val="51D60EC6"/>
    <w:rsid w:val="51E056AD"/>
    <w:rsid w:val="52680BC7"/>
    <w:rsid w:val="52AA5BDE"/>
    <w:rsid w:val="531242BB"/>
    <w:rsid w:val="53342971"/>
    <w:rsid w:val="535D2413"/>
    <w:rsid w:val="54AC42D6"/>
    <w:rsid w:val="54FB217D"/>
    <w:rsid w:val="551B6739"/>
    <w:rsid w:val="551E569C"/>
    <w:rsid w:val="557F01C6"/>
    <w:rsid w:val="5621657F"/>
    <w:rsid w:val="56734F70"/>
    <w:rsid w:val="56AC2486"/>
    <w:rsid w:val="57235785"/>
    <w:rsid w:val="57A5105B"/>
    <w:rsid w:val="58353010"/>
    <w:rsid w:val="586E37F0"/>
    <w:rsid w:val="587A136B"/>
    <w:rsid w:val="58B32E23"/>
    <w:rsid w:val="59223A36"/>
    <w:rsid w:val="59BD26D5"/>
    <w:rsid w:val="59D40607"/>
    <w:rsid w:val="59F667CF"/>
    <w:rsid w:val="5A0C7DA1"/>
    <w:rsid w:val="5AAE0E58"/>
    <w:rsid w:val="5AF9704F"/>
    <w:rsid w:val="5B1909C7"/>
    <w:rsid w:val="5B740BC8"/>
    <w:rsid w:val="5B947BDB"/>
    <w:rsid w:val="5BB10BFF"/>
    <w:rsid w:val="5C2268F0"/>
    <w:rsid w:val="5C237623"/>
    <w:rsid w:val="5C9F433D"/>
    <w:rsid w:val="5D04101B"/>
    <w:rsid w:val="5D0D6309"/>
    <w:rsid w:val="5D5E6C15"/>
    <w:rsid w:val="5D9B1847"/>
    <w:rsid w:val="5DA2567B"/>
    <w:rsid w:val="5DD60239"/>
    <w:rsid w:val="5E160F34"/>
    <w:rsid w:val="5E84084D"/>
    <w:rsid w:val="5E987E55"/>
    <w:rsid w:val="5EA96E87"/>
    <w:rsid w:val="5F486F4A"/>
    <w:rsid w:val="605D1356"/>
    <w:rsid w:val="60DD4922"/>
    <w:rsid w:val="61700561"/>
    <w:rsid w:val="61E3588B"/>
    <w:rsid w:val="622F6D22"/>
    <w:rsid w:val="6237567B"/>
    <w:rsid w:val="628D2EDB"/>
    <w:rsid w:val="62C91468"/>
    <w:rsid w:val="62F537D8"/>
    <w:rsid w:val="6370733A"/>
    <w:rsid w:val="637D2E75"/>
    <w:rsid w:val="63DC07E4"/>
    <w:rsid w:val="644665A5"/>
    <w:rsid w:val="64AC6391"/>
    <w:rsid w:val="669C06FE"/>
    <w:rsid w:val="66E5229D"/>
    <w:rsid w:val="66EF6D4B"/>
    <w:rsid w:val="67592E6B"/>
    <w:rsid w:val="67FC6E05"/>
    <w:rsid w:val="69A022B3"/>
    <w:rsid w:val="69BB5AF7"/>
    <w:rsid w:val="69D3282D"/>
    <w:rsid w:val="6A4E7F61"/>
    <w:rsid w:val="6A670E11"/>
    <w:rsid w:val="6AAF5D15"/>
    <w:rsid w:val="6ACE6FF6"/>
    <w:rsid w:val="6B0D5BA0"/>
    <w:rsid w:val="6B5478DD"/>
    <w:rsid w:val="6B6712DB"/>
    <w:rsid w:val="6B9320D0"/>
    <w:rsid w:val="6BBC0310"/>
    <w:rsid w:val="6C16401E"/>
    <w:rsid w:val="6C40624E"/>
    <w:rsid w:val="6C7069B7"/>
    <w:rsid w:val="6C876B11"/>
    <w:rsid w:val="6CAE13AE"/>
    <w:rsid w:val="6D567859"/>
    <w:rsid w:val="6DAE0693"/>
    <w:rsid w:val="6DD8026E"/>
    <w:rsid w:val="6E133C20"/>
    <w:rsid w:val="6F31305A"/>
    <w:rsid w:val="6F56024D"/>
    <w:rsid w:val="6F8D32DA"/>
    <w:rsid w:val="6F954DC1"/>
    <w:rsid w:val="6FCD390A"/>
    <w:rsid w:val="704A6721"/>
    <w:rsid w:val="7057541D"/>
    <w:rsid w:val="70AE6992"/>
    <w:rsid w:val="71037512"/>
    <w:rsid w:val="710D5957"/>
    <w:rsid w:val="711F7F62"/>
    <w:rsid w:val="71345513"/>
    <w:rsid w:val="71C07997"/>
    <w:rsid w:val="71CD5283"/>
    <w:rsid w:val="71F6366B"/>
    <w:rsid w:val="72231CD3"/>
    <w:rsid w:val="728F558F"/>
    <w:rsid w:val="72916C3D"/>
    <w:rsid w:val="729F4F12"/>
    <w:rsid w:val="72B1469D"/>
    <w:rsid w:val="72FA6ED8"/>
    <w:rsid w:val="72FD2F7E"/>
    <w:rsid w:val="73306683"/>
    <w:rsid w:val="737516C5"/>
    <w:rsid w:val="738B162F"/>
    <w:rsid w:val="73A50172"/>
    <w:rsid w:val="73BD3074"/>
    <w:rsid w:val="73D634A1"/>
    <w:rsid w:val="74526350"/>
    <w:rsid w:val="74566E91"/>
    <w:rsid w:val="74C63A27"/>
    <w:rsid w:val="74D23626"/>
    <w:rsid w:val="74EE65C9"/>
    <w:rsid w:val="75325667"/>
    <w:rsid w:val="75954C96"/>
    <w:rsid w:val="75FE6CDF"/>
    <w:rsid w:val="761B33ED"/>
    <w:rsid w:val="761D1BA4"/>
    <w:rsid w:val="76685F07"/>
    <w:rsid w:val="76937428"/>
    <w:rsid w:val="76996EEE"/>
    <w:rsid w:val="76F23337"/>
    <w:rsid w:val="77EF68E0"/>
    <w:rsid w:val="780F0D30"/>
    <w:rsid w:val="7814095E"/>
    <w:rsid w:val="78BB4A14"/>
    <w:rsid w:val="79740900"/>
    <w:rsid w:val="79D264B9"/>
    <w:rsid w:val="79DA35C0"/>
    <w:rsid w:val="7AC41D91"/>
    <w:rsid w:val="7ACC449A"/>
    <w:rsid w:val="7ADE2561"/>
    <w:rsid w:val="7BA53563"/>
    <w:rsid w:val="7BB824AC"/>
    <w:rsid w:val="7C4160FC"/>
    <w:rsid w:val="7C7F66A3"/>
    <w:rsid w:val="7CB93C2C"/>
    <w:rsid w:val="7D1F067E"/>
    <w:rsid w:val="7D3F6BA5"/>
    <w:rsid w:val="7DE62533"/>
    <w:rsid w:val="7E747036"/>
    <w:rsid w:val="7F651E0F"/>
    <w:rsid w:val="7FE40CF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napToGrid w:val="0"/>
      <w:spacing w:after="480" w:afterLines="200"/>
      <w:outlineLvl w:val="0"/>
    </w:pPr>
    <w:rPr>
      <w:rFonts w:ascii="Times New Roman" w:hAnsi="Times New Roman"/>
      <w:b/>
      <w:sz w:val="36"/>
      <w:szCs w:val="36"/>
    </w:rPr>
  </w:style>
  <w:style w:type="paragraph" w:styleId="3">
    <w:name w:val="heading 2"/>
    <w:basedOn w:val="1"/>
    <w:next w:val="1"/>
    <w:link w:val="22"/>
    <w:qFormat/>
    <w:locked/>
    <w:uiPriority w:val="99"/>
    <w:pPr>
      <w:keepNext/>
      <w:keepLines/>
      <w:spacing w:before="260" w:after="260" w:line="416" w:lineRule="auto"/>
      <w:outlineLvl w:val="1"/>
    </w:pPr>
    <w:rPr>
      <w:rFonts w:ascii="Times New Roman" w:hAnsi="Times New Roman"/>
      <w:b/>
      <w:bCs/>
      <w:sz w:val="28"/>
      <w:szCs w:val="28"/>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4"/>
    <w:qFormat/>
    <w:uiPriority w:val="99"/>
    <w:pPr>
      <w:spacing w:after="120"/>
    </w:pPr>
    <w:rPr>
      <w:rFonts w:ascii="Times New Roman" w:hAnsi="Times New Roman"/>
      <w:kern w:val="0"/>
      <w:sz w:val="20"/>
      <w:szCs w:val="20"/>
    </w:rPr>
  </w:style>
  <w:style w:type="paragraph" w:styleId="7">
    <w:name w:val="toc 3"/>
    <w:basedOn w:val="1"/>
    <w:next w:val="1"/>
    <w:qFormat/>
    <w:uiPriority w:val="99"/>
    <w:pPr>
      <w:widowControl/>
      <w:spacing w:after="100" w:line="259" w:lineRule="auto"/>
      <w:ind w:left="440"/>
      <w:jc w:val="left"/>
    </w:pPr>
    <w:rPr>
      <w:sz w:val="22"/>
    </w:rPr>
  </w:style>
  <w:style w:type="paragraph" w:styleId="8">
    <w:name w:val="Balloon Text"/>
    <w:basedOn w:val="1"/>
    <w:link w:val="26"/>
    <w:qFormat/>
    <w:uiPriority w:val="99"/>
    <w:rPr>
      <w:rFonts w:ascii="Times New Roman" w:hAnsi="Times New Roman"/>
      <w:kern w:val="0"/>
      <w:sz w:val="18"/>
      <w:szCs w:val="20"/>
    </w:rPr>
  </w:style>
  <w:style w:type="paragraph" w:styleId="9">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10">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1">
    <w:name w:val="toc 1"/>
    <w:basedOn w:val="1"/>
    <w:next w:val="1"/>
    <w:qFormat/>
    <w:uiPriority w:val="39"/>
    <w:pPr>
      <w:widowControl/>
      <w:spacing w:after="100" w:line="259" w:lineRule="auto"/>
      <w:jc w:val="left"/>
    </w:pPr>
    <w:rPr>
      <w:sz w:val="2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6"/>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qFormat/>
    <w:uiPriority w:val="99"/>
    <w:rPr>
      <w:rFonts w:cs="Times New Roman"/>
      <w:color w:val="0563C1"/>
      <w:u w:val="single"/>
    </w:rPr>
  </w:style>
  <w:style w:type="character" w:customStyle="1" w:styleId="21">
    <w:name w:val="标题 1 字符"/>
    <w:link w:val="2"/>
    <w:qFormat/>
    <w:locked/>
    <w:uiPriority w:val="99"/>
    <w:rPr>
      <w:b/>
      <w:kern w:val="1"/>
      <w:sz w:val="36"/>
      <w:szCs w:val="36"/>
    </w:rPr>
  </w:style>
  <w:style w:type="character" w:customStyle="1" w:styleId="22">
    <w:name w:val="标题 2 字符"/>
    <w:link w:val="3"/>
    <w:qFormat/>
    <w:locked/>
    <w:uiPriority w:val="99"/>
    <w:rPr>
      <w:b/>
      <w:bCs/>
      <w:kern w:val="1"/>
      <w:sz w:val="28"/>
      <w:szCs w:val="28"/>
    </w:rPr>
  </w:style>
  <w:style w:type="character" w:customStyle="1" w:styleId="23">
    <w:name w:val="标题 4 字符"/>
    <w:link w:val="5"/>
    <w:qFormat/>
    <w:locked/>
    <w:uiPriority w:val="99"/>
    <w:rPr>
      <w:rFonts w:ascii="Cambria" w:hAnsi="Cambria" w:eastAsia="宋体"/>
      <w:b/>
      <w:sz w:val="28"/>
    </w:rPr>
  </w:style>
  <w:style w:type="character" w:customStyle="1" w:styleId="24">
    <w:name w:val="正文文本 字符"/>
    <w:basedOn w:val="17"/>
    <w:link w:val="6"/>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8"/>
    <w:qFormat/>
    <w:locked/>
    <w:uiPriority w:val="99"/>
    <w:rPr>
      <w:sz w:val="18"/>
    </w:rPr>
  </w:style>
  <w:style w:type="character" w:customStyle="1" w:styleId="27">
    <w:name w:val="页脚 字符"/>
    <w:link w:val="9"/>
    <w:qFormat/>
    <w:locked/>
    <w:uiPriority w:val="99"/>
    <w:rPr>
      <w:sz w:val="18"/>
    </w:rPr>
  </w:style>
  <w:style w:type="character" w:customStyle="1" w:styleId="28">
    <w:name w:val="页眉 字符"/>
    <w:link w:val="10"/>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51"/>
    <w:basedOn w:val="17"/>
    <w:qFormat/>
    <w:uiPriority w:val="0"/>
    <w:rPr>
      <w:rFonts w:hint="default" w:ascii="Times New Roman" w:hAnsi="Times New Roman" w:cs="Times New Roman"/>
      <w:b/>
      <w:bCs/>
      <w:color w:val="000000"/>
      <w:sz w:val="40"/>
      <w:szCs w:val="40"/>
      <w:u w:val="none"/>
    </w:rPr>
  </w:style>
  <w:style w:type="character" w:customStyle="1" w:styleId="57">
    <w:name w:val="font41"/>
    <w:basedOn w:val="17"/>
    <w:qFormat/>
    <w:uiPriority w:val="0"/>
    <w:rPr>
      <w:rFonts w:hint="eastAsia" w:ascii="宋体" w:hAnsi="宋体" w:eastAsia="宋体" w:cs="宋体"/>
      <w:b/>
      <w:bCs/>
      <w:color w:val="000000"/>
      <w:sz w:val="40"/>
      <w:szCs w:val="40"/>
      <w:u w:val="none"/>
    </w:rPr>
  </w:style>
  <w:style w:type="character" w:customStyle="1" w:styleId="58">
    <w:name w:val="font01"/>
    <w:basedOn w:val="17"/>
    <w:qFormat/>
    <w:uiPriority w:val="0"/>
    <w:rPr>
      <w:rFonts w:hint="eastAsia" w:ascii="宋体" w:hAnsi="宋体" w:eastAsia="宋体" w:cs="宋体"/>
      <w:color w:val="000000"/>
      <w:sz w:val="24"/>
      <w:szCs w:val="24"/>
      <w:u w:val="none"/>
    </w:rPr>
  </w:style>
  <w:style w:type="character" w:customStyle="1" w:styleId="59">
    <w:name w:val="font61"/>
    <w:basedOn w:val="17"/>
    <w:qFormat/>
    <w:uiPriority w:val="0"/>
    <w:rPr>
      <w:rFonts w:hint="eastAsia" w:ascii="宋体" w:hAnsi="宋体" w:eastAsia="宋体" w:cs="宋体"/>
      <w:b/>
      <w:bCs/>
      <w:color w:val="000000"/>
      <w:sz w:val="24"/>
      <w:szCs w:val="24"/>
      <w:u w:val="none"/>
    </w:rPr>
  </w:style>
  <w:style w:type="paragraph" w:customStyle="1" w:styleId="60">
    <w:name w:val="表格"/>
    <w:basedOn w:val="1"/>
    <w:qFormat/>
    <w:uiPriority w:val="0"/>
    <w:pPr>
      <w:spacing w:line="380" w:lineRule="exact"/>
      <w:jc w:val="center"/>
    </w:pPr>
    <w:rPr>
      <w:rFonts w:cs="微软雅黑"/>
      <w:bCs/>
      <w:color w:val="000000"/>
      <w:szCs w:val="21"/>
    </w:rPr>
  </w:style>
  <w:style w:type="character" w:customStyle="1" w:styleId="61">
    <w:name w:val="无"/>
    <w:qFormat/>
    <w:uiPriority w:val="0"/>
  </w:style>
  <w:style w:type="paragraph" w:customStyle="1" w:styleId="62">
    <w:name w:val="TOC Heading"/>
    <w:basedOn w:val="2"/>
    <w:next w:val="1"/>
    <w:unhideWhenUsed/>
    <w:qFormat/>
    <w:uiPriority w:val="39"/>
    <w:pPr>
      <w:widowControl/>
      <w:snapToGrid/>
      <w:spacing w:before="240" w:after="0" w:afterLines="0" w:line="259" w:lineRule="auto"/>
      <w:jc w:val="left"/>
      <w:outlineLvl w:val="9"/>
    </w:pPr>
    <w:rPr>
      <w:rFonts w:asciiTheme="majorHAnsi" w:hAnsiTheme="majorHAnsi" w:eastAsiaTheme="majorEastAsia" w:cstheme="majorBidi"/>
      <w:b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E90374-E58C-4F95-944D-07E27B73D6D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2730</Words>
  <Characters>3336</Characters>
  <Lines>29</Lines>
  <Paragraphs>8</Paragraphs>
  <TotalTime>0</TotalTime>
  <ScaleCrop>false</ScaleCrop>
  <LinksUpToDate>false</LinksUpToDate>
  <CharactersWithSpaces>3383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2019-11-28T08:42:00Z</dcterms:created>
  <dc:creator>hmz</dc:creator>
  <cp:lastModifiedBy>成都奥创生物</cp:lastModifiedBy>
  <cp:lastPrinted>2016-09-28T07:20:00Z</cp:lastPrinted>
  <dcterms:modified xsi:type="dcterms:W3CDTF">2024-07-10T09:32:09Z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B94D3197E46149F8AC81A2405417516F_13</vt:lpwstr>
  </property>
</Properties>
</file>