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insoku/>
        <w:wordWrap/>
        <w:overflowPunct/>
        <w:topLinePunct w:val="0"/>
        <w:bidi w:val="0"/>
        <w:spacing w:after="120" w:afterLines="50" w:line="360" w:lineRule="auto"/>
        <w:jc w:val="lef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-814705</wp:posOffset>
                </wp:positionH>
                <wp:positionV relativeFrom="paragraph">
                  <wp:posOffset>1343660</wp:posOffset>
                </wp:positionV>
                <wp:extent cx="7553960" cy="226695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960" cy="226695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流式活死细胞染色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（AM-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PI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）实验报告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4.15pt;margin-top:105.8pt;height:178.5pt;width:594.8pt;z-index:251662336;mso-width-relative:page;mso-height-relative:page;" filled="f" stroked="f" coordsize="21600,21600" o:gfxdata="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a&#10;h0gQ3AAAAA0BAAAPAAAAAAAAAAEAIAAAACIAAABkcnMvZG93bnJldi54bWxQSwECFAAUAAAACACH&#10;TuJAyFFEH1kCAACYBAAADgAAAAAAAAABACAAAAArAQAAZHJzL2Uyb0RvYy54bWxQSwUGAAAAAAYA&#10;BgBZAQAA9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流式活死细胞染色</w:t>
                      </w:r>
                    </w:p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（AM-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PI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）实验报告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85090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-818515</wp:posOffset>
            </wp:positionH>
            <wp:positionV relativeFrom="paragraph">
              <wp:posOffset>-1221740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4"/>
          <w:szCs w:val="24"/>
        </w:rPr>
        <w:t>ttt</w:t>
      </w: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insoku/>
        <w:wordWrap/>
        <w:overflowPunct/>
        <w:topLinePunct w:val="0"/>
        <w:bidi w:val="0"/>
        <w:spacing w:line="360" w:lineRule="auto"/>
        <w:rPr>
          <w:rFonts w:hint="default" w:ascii="Times New Roman" w:hAnsi="Times New Roman" w:cs="Times New Roman"/>
          <w:b/>
          <w:bCs/>
          <w:sz w:val="52"/>
          <w:szCs w:val="52"/>
        </w:rPr>
      </w:pPr>
    </w:p>
    <w:p>
      <w:pPr>
        <w:kinsoku/>
        <w:wordWrap/>
        <w:overflowPunct/>
        <w:topLinePunct w:val="0"/>
        <w:bidi w:val="0"/>
        <w:spacing w:before="240" w:beforeLines="100" w:line="360" w:lineRule="auto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1153795</wp:posOffset>
                </wp:positionH>
                <wp:positionV relativeFrom="paragraph">
                  <wp:posOffset>1177925</wp:posOffset>
                </wp:positionV>
                <wp:extent cx="3851910" cy="7112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7112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0.85pt;margin-top:92.75pt;height:56pt;width:303.3pt;z-index:251664384;mso-width-relative:page;mso-height-relative:page;" filled="f" stroked="f" coordsize="21600,21600" o:gfxdata="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MXuWk2wAA&#10;AAsBAAAPAAAAAAAAAAEAIAAAACIAAABkcnMvZG93bnJldi54bWxQSwECFAAUAAAACACHTuJAcFt4&#10;uFQCAACXBAAADgAAAAAAAAABACAAAAAqAQAAZHJzL2Uyb0RvYy54bWxQSwUGAAAAAAYABgBZAQAA&#10;8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-826770</wp:posOffset>
                </wp:positionH>
                <wp:positionV relativeFrom="paragraph">
                  <wp:posOffset>4114800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10086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124"/>
                              <w:gridCol w:w="2716"/>
                              <w:gridCol w:w="2689"/>
                              <w:gridCol w:w="2557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2124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716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hint="eastAsia"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55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hint="eastAsia"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2124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716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hint="default"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55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hint="default"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2124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716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hint="eastAsia"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55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hint="default"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2124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716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hint="eastAsia"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55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5.1pt;margin-top:324pt;height:224pt;width:595pt;z-index:251665408;v-text-anchor:middle;mso-width-relative:page;mso-height-relative:page;" filled="f" stroked="f" coordsize="21600,21600" o:gfxdata="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+HRRR&#10;3QAAAA4BAAAPAAAAAAAAAAEAIAAAACIAAABkcnMvZG93bnJldi54bWxQSwECFAAUAAAACACHTuJA&#10;+XcVLlUCAACaBAAADgAAAAAAAAABACAAAAAsAQAAZHJzL2Uyb0RvYy54bWxQSwUGAAAAAAYABgBZ&#10;AQAA8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10086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124"/>
                        <w:gridCol w:w="2716"/>
                        <w:gridCol w:w="2689"/>
                        <w:gridCol w:w="2557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2124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716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hint="eastAsia"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8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55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hint="eastAsia"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2124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716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hint="default"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8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55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hint="default"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2124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716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hint="eastAsia"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8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55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hint="default"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2124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716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hint="eastAsia"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8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55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spacing w:after="120" w:afterLines="50" w:line="480" w:lineRule="exact"/>
                        <w:jc w:val="center"/>
                        <w:rPr>
                          <w:rFonts w:ascii="Times New Roman" w:hAnsi="Times New Roman" w:eastAsiaTheme="minorEastAsia"/>
                          <w:b/>
                          <w:bCs/>
                          <w:color w:val="000000" w:themeColor="text1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</w:rPr>
        <w:br w:type="page"/>
      </w:r>
    </w:p>
    <w:p>
      <w:pPr>
        <w:kinsoku/>
        <w:wordWrap/>
        <w:overflowPunct/>
        <w:topLinePunct w:val="0"/>
        <w:bidi w:val="0"/>
        <w:spacing w:after="100" w:afterAutospacing="1" w:line="360" w:lineRule="auto"/>
        <w:contextualSpacing/>
        <w:rPr>
          <w:rFonts w:hint="default" w:ascii="Times New Roman" w:hAnsi="Times New Roman" w:cs="Times New Roman" w:eastAsiaTheme="minorEastAsia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sz w:val="24"/>
          <w:szCs w:val="24"/>
        </w:rPr>
        <w:t>尊敬的客户：</w:t>
      </w:r>
    </w:p>
    <w:p>
      <w:pPr>
        <w:kinsoku/>
        <w:wordWrap/>
        <w:overflowPunct/>
        <w:topLinePunct w:val="0"/>
        <w:bidi w:val="0"/>
        <w:spacing w:after="100" w:afterAutospacing="1" w:line="360" w:lineRule="auto"/>
        <w:ind w:firstLine="120" w:firstLineChars="50"/>
        <w:contextualSpacing/>
        <w:rPr>
          <w:rFonts w:hint="default" w:ascii="Times New Roman" w:hAnsi="Times New Roman" w:cs="Times New Roman" w:eastAsiaTheme="minorEastAsia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sz w:val="24"/>
          <w:szCs w:val="24"/>
        </w:rPr>
        <w:t>您好！</w:t>
      </w:r>
    </w:p>
    <w:p>
      <w:pPr>
        <w:kinsoku/>
        <w:wordWrap/>
        <w:overflowPunct/>
        <w:topLinePunct w:val="0"/>
        <w:bidi w:val="0"/>
        <w:spacing w:after="100" w:afterAutospacing="1" w:line="360" w:lineRule="auto"/>
        <w:ind w:firstLine="472" w:firstLineChars="196"/>
        <w:contextualSpacing/>
        <w:rPr>
          <w:rFonts w:hint="default" w:ascii="Times New Roman" w:hAnsi="Times New Roman" w:cs="Times New Roman" w:eastAsiaTheme="minorEastAsia"/>
          <w:color w:val="000000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hint="default" w:ascii="Times New Roman" w:hAnsi="Times New Roman" w:cs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kinsoku/>
        <w:wordWrap/>
        <w:overflowPunct/>
        <w:topLinePunct w:val="0"/>
        <w:bidi w:val="0"/>
        <w:spacing w:after="100" w:afterAutospacing="1" w:line="360" w:lineRule="auto"/>
        <w:ind w:firstLine="472" w:firstLineChars="196"/>
        <w:contextualSpacing/>
        <w:rPr>
          <w:rFonts w:hint="default" w:ascii="Times New Roman" w:hAnsi="Times New Roman" w:cs="Times New Roman" w:eastAsiaTheme="minorEastAsia"/>
          <w:color w:val="000000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hint="default" w:ascii="Times New Roman" w:hAnsi="Times New Roman" w:cs="Times New Roman" w:eastAsiaTheme="minorEastAsia"/>
          <w:color w:val="000000"/>
          <w:sz w:val="24"/>
          <w:szCs w:val="24"/>
        </w:rPr>
        <w:t>联合多位来自于了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spacing w:before="240" w:beforeLines="100" w:after="100" w:afterAutospacing="1" w:line="360" w:lineRule="auto"/>
        <w:ind w:left="363" w:hanging="363"/>
        <w:contextualSpacing/>
        <w:rPr>
          <w:rFonts w:hint="default" w:ascii="Times New Roman" w:hAnsi="Times New Roman" w:cs="Times New Roman" w:eastAsiaTheme="minorEastAsia"/>
          <w:b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b/>
          <w:sz w:val="24"/>
          <w:szCs w:val="24"/>
        </w:rPr>
        <w:t>整体项目平台</w:t>
      </w:r>
    </w:p>
    <w:p>
      <w:pPr>
        <w:kinsoku/>
        <w:wordWrap/>
        <w:overflowPunct/>
        <w:topLinePunct w:val="0"/>
        <w:autoSpaceDE w:val="0"/>
        <w:autoSpaceDN w:val="0"/>
        <w:bidi w:val="0"/>
        <w:spacing w:after="100" w:afterAutospacing="1" w:line="360" w:lineRule="auto"/>
        <w:ind w:left="420"/>
        <w:contextualSpacing/>
        <w:rPr>
          <w:rFonts w:hint="default" w:ascii="Times New Roman" w:hAnsi="Times New Roman" w:cs="Times New Roman" w:eastAsiaTheme="minorEastAsia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spacing w:after="100" w:afterAutospacing="1" w:line="360" w:lineRule="auto"/>
        <w:contextualSpacing/>
        <w:rPr>
          <w:rFonts w:hint="default" w:ascii="Times New Roman" w:hAnsi="Times New Roman" w:cs="Times New Roman" w:eastAsiaTheme="minorEastAsia"/>
          <w:b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b/>
          <w:sz w:val="24"/>
          <w:szCs w:val="24"/>
        </w:rPr>
        <w:t>核酸研究平台</w:t>
      </w:r>
    </w:p>
    <w:p>
      <w:pPr>
        <w:kinsoku/>
        <w:wordWrap/>
        <w:overflowPunct/>
        <w:topLinePunct w:val="0"/>
        <w:autoSpaceDE w:val="0"/>
        <w:autoSpaceDN w:val="0"/>
        <w:bidi w:val="0"/>
        <w:spacing w:after="100" w:afterAutospacing="1" w:line="360" w:lineRule="auto"/>
        <w:ind w:left="420"/>
        <w:contextualSpacing/>
        <w:rPr>
          <w:rFonts w:hint="default" w:ascii="Times New Roman" w:hAnsi="Times New Roman" w:cs="Times New Roman" w:eastAsiaTheme="minorEastAsia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spacing w:after="100" w:afterAutospacing="1" w:line="360" w:lineRule="auto"/>
        <w:contextualSpacing/>
        <w:rPr>
          <w:rFonts w:hint="default" w:ascii="Times New Roman" w:hAnsi="Times New Roman" w:cs="Times New Roman" w:eastAsiaTheme="minorEastAsia"/>
          <w:b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b/>
          <w:sz w:val="24"/>
          <w:szCs w:val="24"/>
        </w:rPr>
        <w:t>蛋白与免疫平台</w:t>
      </w:r>
    </w:p>
    <w:p>
      <w:pPr>
        <w:kinsoku/>
        <w:wordWrap/>
        <w:overflowPunct/>
        <w:topLinePunct w:val="0"/>
        <w:autoSpaceDE w:val="0"/>
        <w:autoSpaceDN w:val="0"/>
        <w:bidi w:val="0"/>
        <w:spacing w:after="100" w:afterAutospacing="1" w:line="360" w:lineRule="auto"/>
        <w:ind w:left="420"/>
        <w:contextualSpacing/>
        <w:rPr>
          <w:rFonts w:hint="default" w:ascii="Times New Roman" w:hAnsi="Times New Roman" w:cs="Times New Roman" w:eastAsiaTheme="minorEastAsia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sz w:val="24"/>
          <w:szCs w:val="24"/>
        </w:rPr>
        <w:t>服务项目：Western blot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>，</w:t>
      </w: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t>IP/COIP检测</w:t>
      </w:r>
      <w:r>
        <w:rPr>
          <w:rFonts w:hint="default" w:ascii="Times New Roman" w:hAnsi="Times New Roman" w:cs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spacing w:after="100" w:afterAutospacing="1" w:line="360" w:lineRule="auto"/>
        <w:contextualSpacing/>
        <w:rPr>
          <w:rFonts w:hint="default" w:ascii="Times New Roman" w:hAnsi="Times New Roman" w:cs="Times New Roman" w:eastAsiaTheme="minorEastAsia"/>
          <w:b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b/>
          <w:sz w:val="24"/>
          <w:szCs w:val="24"/>
        </w:rPr>
        <w:t>细胞研究平台</w:t>
      </w:r>
    </w:p>
    <w:p>
      <w:pPr>
        <w:kinsoku/>
        <w:wordWrap/>
        <w:overflowPunct/>
        <w:topLinePunct w:val="0"/>
        <w:autoSpaceDE w:val="0"/>
        <w:autoSpaceDN w:val="0"/>
        <w:bidi w:val="0"/>
        <w:spacing w:after="100" w:afterAutospacing="1" w:line="360" w:lineRule="auto"/>
        <w:ind w:left="420"/>
        <w:contextualSpacing/>
        <w:rPr>
          <w:rFonts w:hint="default" w:ascii="Times New Roman" w:hAnsi="Times New Roman" w:cs="Times New Roman" w:eastAsiaTheme="minorEastAsia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spacing w:after="100" w:afterAutospacing="1" w:line="360" w:lineRule="auto"/>
        <w:contextualSpacing/>
        <w:rPr>
          <w:rFonts w:hint="default" w:ascii="Times New Roman" w:hAnsi="Times New Roman" w:cs="Times New Roman" w:eastAsiaTheme="minorEastAsia"/>
          <w:b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b/>
          <w:sz w:val="24"/>
          <w:szCs w:val="24"/>
        </w:rPr>
        <w:t>病毒包装平台</w:t>
      </w:r>
    </w:p>
    <w:p>
      <w:pPr>
        <w:kinsoku/>
        <w:wordWrap/>
        <w:overflowPunct/>
        <w:topLinePunct w:val="0"/>
        <w:autoSpaceDE w:val="0"/>
        <w:autoSpaceDN w:val="0"/>
        <w:bidi w:val="0"/>
        <w:spacing w:after="100" w:afterAutospacing="1" w:line="360" w:lineRule="auto"/>
        <w:ind w:left="420"/>
        <w:contextualSpacing/>
        <w:rPr>
          <w:rFonts w:hint="default" w:ascii="Times New Roman" w:hAnsi="Times New Roman" w:cs="Times New Roman" w:eastAsiaTheme="minorEastAsia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spacing w:after="100" w:afterAutospacing="1" w:line="360" w:lineRule="auto"/>
        <w:contextualSpacing/>
        <w:rPr>
          <w:rFonts w:hint="default" w:ascii="Times New Roman" w:hAnsi="Times New Roman" w:cs="Times New Roman" w:eastAsiaTheme="minorEastAsia"/>
          <w:b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b/>
          <w:sz w:val="24"/>
          <w:szCs w:val="24"/>
        </w:rPr>
        <w:t>病理染色</w:t>
      </w:r>
    </w:p>
    <w:p>
      <w:pPr>
        <w:kinsoku/>
        <w:wordWrap/>
        <w:overflowPunct/>
        <w:topLinePunct w:val="0"/>
        <w:autoSpaceDE w:val="0"/>
        <w:autoSpaceDN w:val="0"/>
        <w:bidi w:val="0"/>
        <w:spacing w:after="100" w:afterAutospacing="1" w:line="360" w:lineRule="auto"/>
        <w:ind w:left="420"/>
        <w:contextualSpacing/>
        <w:rPr>
          <w:rFonts w:hint="default" w:ascii="Times New Roman" w:hAnsi="Times New Roman" w:cs="Times New Roman" w:eastAsiaTheme="minorEastAsia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sz w:val="24"/>
          <w:szCs w:val="24"/>
        </w:rPr>
        <w:t>服务项目：各类切片及染色服务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>，</w:t>
      </w: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t>电镜检测</w:t>
      </w:r>
      <w:r>
        <w:rPr>
          <w:rFonts w:hint="default" w:ascii="Times New Roman" w:hAnsi="Times New Roman" w:cs="Times New Roman" w:eastAsiaTheme="minorEastAsia"/>
          <w:sz w:val="24"/>
          <w:szCs w:val="24"/>
        </w:rPr>
        <w:t>，免疫荧光，免疫组化，</w:t>
      </w: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t>tunel，</w:t>
      </w:r>
      <w:r>
        <w:rPr>
          <w:rFonts w:hint="default" w:ascii="Times New Roman" w:hAnsi="Times New Roman" w:cs="Times New Roman" w:eastAsiaTheme="minorEastAsia"/>
          <w:sz w:val="24"/>
          <w:szCs w:val="24"/>
        </w:rPr>
        <w:t>原位杂交染色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>，</w:t>
      </w: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hint="default" w:ascii="Times New Roman" w:hAnsi="Times New Roman" w:cs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spacing w:after="100" w:afterAutospacing="1" w:line="360" w:lineRule="auto"/>
        <w:contextualSpacing/>
        <w:rPr>
          <w:rFonts w:hint="default" w:ascii="Times New Roman" w:hAnsi="Times New Roman" w:cs="Times New Roman" w:eastAsiaTheme="minorEastAsia"/>
          <w:b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b/>
          <w:sz w:val="24"/>
          <w:szCs w:val="24"/>
        </w:rPr>
        <w:t>动物模型平台：</w:t>
      </w:r>
    </w:p>
    <w:p>
      <w:pPr>
        <w:kinsoku/>
        <w:wordWrap/>
        <w:overflowPunct/>
        <w:topLinePunct w:val="0"/>
        <w:autoSpaceDE w:val="0"/>
        <w:autoSpaceDN w:val="0"/>
        <w:bidi w:val="0"/>
        <w:spacing w:after="100" w:afterAutospacing="1" w:line="360" w:lineRule="auto"/>
        <w:ind w:left="420"/>
        <w:contextualSpacing/>
        <w:rPr>
          <w:rFonts w:hint="default" w:ascii="Times New Roman" w:hAnsi="Times New Roman" w:cs="Times New Roman" w:eastAsiaTheme="minorEastAsia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sz w:val="24"/>
          <w:szCs w:val="24"/>
        </w:rPr>
        <w:t>服务项目：常见疾病动物模型及肿瘤模型构建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>，</w:t>
      </w: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hint="default" w:ascii="Times New Roman" w:hAnsi="Times New Roman" w:cs="Times New Roman" w:eastAsiaTheme="minorEastAsia"/>
          <w:sz w:val="24"/>
          <w:szCs w:val="24"/>
        </w:rPr>
        <w:t>。</w:t>
      </w:r>
    </w:p>
    <w:p>
      <w:pPr>
        <w:pStyle w:val="50"/>
        <w:kinsoku/>
        <w:wordWrap/>
        <w:overflowPunct/>
        <w:topLinePunct w:val="0"/>
        <w:bidi w:val="0"/>
        <w:spacing w:after="100" w:afterAutospacing="1" w:line="360" w:lineRule="auto"/>
        <w:ind w:left="420" w:firstLine="0" w:firstLineChars="0"/>
        <w:contextualSpacing/>
        <w:rPr>
          <w:rFonts w:hint="default" w:ascii="Times New Roman" w:hAnsi="Times New Roman" w:cs="Times New Roman" w:eastAsiaTheme="minorEastAsia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hint="default" w:ascii="Times New Roman" w:hAnsi="Times New Roman" w:cs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hint="default" w:ascii="Times New Roman" w:hAnsi="Times New Roman" w:cs="Times New Roman" w:eastAsiaTheme="minorEastAsia"/>
          <w:sz w:val="24"/>
          <w:szCs w:val="24"/>
        </w:rPr>
        <w:t xml:space="preserve">唯一 </w:t>
      </w:r>
      <w:r>
        <w:rPr>
          <w:rFonts w:hint="default" w:ascii="Times New Roman" w:hAnsi="Times New Roman" w:cs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hint="default" w:ascii="Times New Roman" w:hAnsi="Times New Roman" w:cs="Times New Roman" w:eastAsiaTheme="minorEastAsia"/>
          <w:sz w:val="24"/>
          <w:szCs w:val="24"/>
        </w:rPr>
        <w:t xml:space="preserve">真实  </w:t>
      </w:r>
      <w:r>
        <w:rPr>
          <w:rFonts w:hint="default" w:ascii="Times New Roman" w:hAnsi="Times New Roman" w:cs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hint="default" w:ascii="Times New Roman" w:hAnsi="Times New Roman" w:cs="Times New Roman" w:eastAsiaTheme="minorEastAsia"/>
          <w:sz w:val="24"/>
          <w:szCs w:val="24"/>
        </w:rPr>
        <w:t xml:space="preserve">专业  </w:t>
      </w:r>
      <w:r>
        <w:rPr>
          <w:rFonts w:hint="default" w:ascii="Times New Roman" w:hAnsi="Times New Roman" w:cs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hint="default" w:ascii="Times New Roman" w:hAnsi="Times New Roman" w:cs="Times New Roman" w:eastAsiaTheme="minorEastAsia"/>
          <w:sz w:val="24"/>
          <w:szCs w:val="24"/>
        </w:rPr>
        <w:t>效率</w:t>
      </w:r>
    </w:p>
    <w:p>
      <w:pPr>
        <w:kinsoku/>
        <w:wordWrap/>
        <w:overflowPunct/>
        <w:topLinePunct w:val="0"/>
        <w:bidi w:val="0"/>
        <w:spacing w:after="100" w:afterAutospacing="1" w:line="360" w:lineRule="auto"/>
        <w:ind w:firstLine="360" w:firstLineChars="150"/>
        <w:contextualSpacing/>
        <w:rPr>
          <w:rFonts w:hint="default" w:ascii="Times New Roman" w:hAnsi="Times New Roman" w:cs="Times New Roman" w:eastAsiaTheme="minorEastAsia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kinsoku/>
        <w:wordWrap/>
        <w:overflowPunct/>
        <w:topLinePunct w:val="0"/>
        <w:bidi w:val="0"/>
        <w:spacing w:line="360" w:lineRule="auto"/>
        <w:jc w:val="left"/>
        <w:rPr>
          <w:rFonts w:hint="default" w:ascii="Times New Roman" w:hAnsi="Times New Roman" w:cs="Times New Roman" w:eastAsiaTheme="minorEastAsia"/>
          <w:b/>
          <w:bCs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</w:rPr>
        <w:br w:type="page"/>
      </w:r>
    </w:p>
    <w:p>
      <w:pPr>
        <w:pStyle w:val="3"/>
        <w:kinsoku/>
        <w:wordWrap/>
        <w:overflowPunct/>
        <w:topLinePunct w:val="0"/>
        <w:bidi w:val="0"/>
        <w:spacing w:before="120" w:beforeLines="50" w:after="120" w:afterLines="50" w:line="360" w:lineRule="auto"/>
        <w:jc w:val="center"/>
        <w:rPr>
          <w:rFonts w:hint="default" w:ascii="Times New Roman" w:hAnsi="Times New Roman" w:cs="Times New Roman"/>
          <w:sz w:val="28"/>
          <w:szCs w:val="28"/>
        </w:rPr>
      </w:pPr>
      <w:bookmarkStart w:id="0" w:name="_Toc3116"/>
      <w:bookmarkStart w:id="1" w:name="_Toc27454"/>
      <w:r>
        <w:rPr>
          <w:rFonts w:hint="default" w:ascii="Times New Roman" w:hAnsi="Times New Roman" w:cs="Times New Roman"/>
          <w:sz w:val="28"/>
          <w:szCs w:val="28"/>
        </w:rPr>
        <w:t>声明</w:t>
      </w:r>
      <w:bookmarkEnd w:id="0"/>
      <w:bookmarkEnd w:id="1"/>
    </w:p>
    <w:p>
      <w:pPr>
        <w:kinsoku/>
        <w:wordWrap/>
        <w:overflowPunct/>
        <w:topLinePunct w:val="0"/>
        <w:bidi w:val="0"/>
        <w:spacing w:before="120" w:beforeLines="50" w:after="120" w:afterLines="50" w:line="360" w:lineRule="auto"/>
        <w:rPr>
          <w:rFonts w:hint="default" w:ascii="Times New Roman" w:hAnsi="Times New Roman" w:cs="Times New Roman"/>
        </w:rPr>
      </w:pPr>
    </w:p>
    <w:p>
      <w:pPr>
        <w:kinsoku/>
        <w:wordWrap/>
        <w:overflowPunct/>
        <w:topLinePunct w:val="0"/>
        <w:bidi w:val="0"/>
        <w:spacing w:before="120" w:beforeLines="50" w:after="120" w:afterLines="50" w:line="360" w:lineRule="auto"/>
        <w:ind w:firstLine="480" w:firstLineChars="200"/>
        <w:rPr>
          <w:rFonts w:hint="default" w:ascii="Times New Roman" w:hAnsi="Times New Roman" w:cs="Times New Roman"/>
          <w:bCs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为</w:t>
      </w:r>
      <w:r>
        <w:rPr>
          <w:rFonts w:hint="default" w:ascii="Times New Roman" w:hAnsi="Times New Roman" w:cs="Times New Roman"/>
          <w:bCs/>
          <w:sz w:val="24"/>
          <w:szCs w:val="24"/>
        </w:rPr>
        <w:t>保证独立、客观、公正地从事检验检测工作，</w:t>
      </w:r>
      <w:r>
        <w:rPr>
          <w:rFonts w:hint="default" w:ascii="Times New Roman" w:hAnsi="Times New Roman" w:cs="Times New Roman"/>
          <w:sz w:val="24"/>
          <w:szCs w:val="24"/>
        </w:rPr>
        <w:t>提高服务质量</w:t>
      </w:r>
      <w:r>
        <w:rPr>
          <w:rFonts w:hint="default" w:ascii="Times New Roman" w:hAnsi="Times New Roman" w:cs="Times New Roman"/>
          <w:bCs/>
          <w:sz w:val="24"/>
          <w:szCs w:val="24"/>
        </w:rPr>
        <w:t>。现以奥创生物名义，</w:t>
      </w:r>
      <w:r>
        <w:rPr>
          <w:rFonts w:hint="default" w:ascii="Times New Roman" w:hAnsi="Times New Roman" w:cs="Times New Roman"/>
          <w:sz w:val="24"/>
          <w:szCs w:val="24"/>
        </w:rPr>
        <w:t>向社会各界和客户作如下声明，并接受有关单位和客户的监督。</w:t>
      </w:r>
    </w:p>
    <w:p>
      <w:pPr>
        <w:kinsoku/>
        <w:wordWrap/>
        <w:overflowPunct/>
        <w:topLinePunct w:val="0"/>
        <w:bidi w:val="0"/>
        <w:spacing w:before="120" w:beforeLines="50" w:after="120" w:afterLines="50" w:line="360" w:lineRule="auto"/>
        <w:ind w:firstLine="480" w:firstLineChars="20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kinsoku/>
        <w:wordWrap/>
        <w:overflowPunct/>
        <w:topLinePunct w:val="0"/>
        <w:bidi w:val="0"/>
        <w:spacing w:before="120" w:beforeLines="50" w:after="120" w:afterLines="50" w:line="360" w:lineRule="auto"/>
        <w:ind w:firstLine="480" w:firstLineChars="20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Cs/>
          <w:sz w:val="24"/>
          <w:szCs w:val="24"/>
        </w:rPr>
        <w:t>2、公司</w:t>
      </w:r>
      <w:r>
        <w:rPr>
          <w:rFonts w:hint="default" w:ascii="Times New Roman" w:hAnsi="Times New Roman" w:cs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kinsoku/>
        <w:wordWrap/>
        <w:overflowPunct/>
        <w:topLinePunct w:val="0"/>
        <w:bidi w:val="0"/>
        <w:spacing w:before="120" w:beforeLines="50" w:after="120" w:afterLines="50" w:line="360" w:lineRule="auto"/>
        <w:ind w:firstLine="480" w:firstLineChars="200"/>
        <w:rPr>
          <w:rFonts w:hint="default" w:ascii="Times New Roman" w:hAnsi="Times New Roman" w:cs="Times New Roman"/>
          <w:bCs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3、</w:t>
      </w:r>
      <w:r>
        <w:rPr>
          <w:rFonts w:hint="default" w:ascii="Times New Roman" w:hAnsi="Times New Roman" w:cs="Times New Roman"/>
          <w:bCs/>
          <w:sz w:val="24"/>
          <w:szCs w:val="24"/>
        </w:rPr>
        <w:t>承诺</w:t>
      </w:r>
      <w:r>
        <w:rPr>
          <w:rFonts w:hint="default" w:ascii="Times New Roman" w:hAnsi="Times New Roman" w:cs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kinsoku/>
        <w:wordWrap/>
        <w:overflowPunct/>
        <w:topLinePunct w:val="0"/>
        <w:bidi w:val="0"/>
        <w:spacing w:before="120" w:beforeLines="50" w:after="120" w:afterLines="50" w:line="360" w:lineRule="auto"/>
        <w:ind w:firstLine="480" w:firstLineChars="20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Cs/>
          <w:sz w:val="24"/>
          <w:szCs w:val="24"/>
        </w:rPr>
        <w:t>4</w:t>
      </w:r>
      <w:r>
        <w:rPr>
          <w:rFonts w:hint="default" w:ascii="Times New Roman" w:hAnsi="Times New Roman" w:cs="Times New Roman"/>
          <w:sz w:val="24"/>
          <w:szCs w:val="24"/>
        </w:rPr>
        <w:t>、</w:t>
      </w:r>
      <w:r>
        <w:rPr>
          <w:rFonts w:hint="default" w:ascii="Times New Roman" w:hAnsi="Times New Roman" w:cs="Times New Roman"/>
          <w:bCs/>
          <w:sz w:val="24"/>
          <w:szCs w:val="24"/>
        </w:rPr>
        <w:t>承诺</w:t>
      </w:r>
      <w:r>
        <w:rPr>
          <w:rFonts w:hint="default" w:ascii="Times New Roman" w:hAnsi="Times New Roman" w:cs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kinsoku/>
        <w:wordWrap/>
        <w:overflowPunct/>
        <w:topLinePunct w:val="0"/>
        <w:bidi w:val="0"/>
        <w:spacing w:before="120" w:beforeLines="50" w:after="120" w:afterLines="50" w:line="360" w:lineRule="auto"/>
        <w:ind w:firstLine="480" w:firstLineChars="200"/>
        <w:rPr>
          <w:rFonts w:hint="default" w:ascii="Times New Roman" w:hAnsi="Times New Roman" w:cs="Times New Roman"/>
          <w:bCs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5、</w:t>
      </w:r>
      <w:r>
        <w:rPr>
          <w:rFonts w:hint="default" w:ascii="Times New Roman" w:hAnsi="Times New Roman" w:cs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kinsoku/>
        <w:wordWrap/>
        <w:overflowPunct/>
        <w:topLinePunct w:val="0"/>
        <w:bidi w:val="0"/>
        <w:spacing w:before="120" w:beforeLines="50" w:after="120" w:afterLines="50" w:line="360" w:lineRule="auto"/>
        <w:ind w:firstLine="480" w:firstLineChars="200"/>
        <w:rPr>
          <w:rFonts w:hint="default" w:ascii="Times New Roman" w:hAnsi="Times New Roman" w:cs="Times New Roman"/>
          <w:bCs/>
          <w:sz w:val="24"/>
          <w:szCs w:val="24"/>
        </w:rPr>
      </w:pPr>
      <w:r>
        <w:rPr>
          <w:rFonts w:hint="default" w:ascii="Times New Roman" w:hAnsi="Times New Roman" w:cs="Times New Roman"/>
          <w:bCs/>
          <w:sz w:val="24"/>
          <w:szCs w:val="24"/>
        </w:rPr>
        <w:t>以上声明，本公司全体人员必须严格遵守。</w:t>
      </w:r>
    </w:p>
    <w:p>
      <w:pPr>
        <w:kinsoku/>
        <w:wordWrap/>
        <w:overflowPunct/>
        <w:topLinePunct w:val="0"/>
        <w:bidi w:val="0"/>
        <w:adjustRightInd w:val="0"/>
        <w:snapToGrid w:val="0"/>
        <w:spacing w:before="120" w:beforeLines="50" w:after="120" w:afterLines="50" w:line="360" w:lineRule="auto"/>
        <w:ind w:firstLine="480" w:firstLineChars="200"/>
        <w:rPr>
          <w:rFonts w:hint="default" w:ascii="Times New Roman" w:hAnsi="Times New Roman" w:cs="Times New Roman"/>
          <w:sz w:val="24"/>
          <w:szCs w:val="24"/>
        </w:rPr>
      </w:pPr>
    </w:p>
    <w:p>
      <w:pPr>
        <w:kinsoku/>
        <w:wordWrap/>
        <w:overflowPunct/>
        <w:topLinePunct w:val="0"/>
        <w:bidi w:val="0"/>
        <w:spacing w:before="120" w:beforeLines="50" w:after="120" w:afterLines="50" w:line="360" w:lineRule="auto"/>
        <w:ind w:firstLine="480" w:firstLineChars="200"/>
        <w:jc w:val="righ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成都奥创生物科技有限公司</w:t>
      </w:r>
    </w:p>
    <w:p>
      <w:pPr>
        <w:widowControl/>
        <w:kinsoku/>
        <w:wordWrap/>
        <w:overflowPunct/>
        <w:topLinePunct w:val="0"/>
        <w:bidi w:val="0"/>
        <w:spacing w:line="360" w:lineRule="auto"/>
        <w:jc w:val="left"/>
        <w:rPr>
          <w:rFonts w:hint="default" w:ascii="Times New Roman" w:hAnsi="Times New Roman" w:cs="Times New Roman" w:eastAsiaTheme="minorEastAsia"/>
          <w:b/>
          <w:bCs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</w:rPr>
        <w:br w:type="page"/>
      </w:r>
    </w:p>
    <w:sdt>
      <w:sdtPr>
        <w:rPr>
          <w:rFonts w:hint="default" w:ascii="Times New Roman" w:hAnsi="Times New Roman" w:eastAsia="宋体" w:cs="Times New Roman"/>
          <w:color w:val="auto"/>
          <w:kern w:val="1"/>
          <w:sz w:val="21"/>
          <w:szCs w:val="22"/>
          <w:lang w:val="zh-CN"/>
        </w:rPr>
        <w:id w:val="-32881177"/>
        <w:docPartObj>
          <w:docPartGallery w:val="Table of Contents"/>
          <w:docPartUnique/>
        </w:docPartObj>
      </w:sdtPr>
      <w:sdtEndPr>
        <w:rPr>
          <w:rFonts w:hint="default" w:ascii="Times New Roman" w:hAnsi="Times New Roman" w:eastAsia="宋体" w:cs="Times New Roman"/>
          <w:b/>
          <w:bCs/>
          <w:color w:val="auto"/>
          <w:kern w:val="1"/>
          <w:sz w:val="21"/>
          <w:szCs w:val="22"/>
          <w:lang w:val="zh-CN"/>
        </w:rPr>
      </w:sdtEndPr>
      <w:sdtContent>
        <w:p>
          <w:pPr>
            <w:pStyle w:val="57"/>
            <w:kinsoku/>
            <w:wordWrap/>
            <w:overflowPunct/>
            <w:topLinePunct w:val="0"/>
            <w:bidi w:val="0"/>
            <w:spacing w:line="360" w:lineRule="auto"/>
            <w:jc w:val="center"/>
            <w:rPr>
              <w:rFonts w:hint="default" w:ascii="Times New Roman" w:hAnsi="Times New Roman" w:cs="Times New Roman"/>
              <w:b/>
              <w:bCs/>
              <w:color w:val="auto"/>
              <w:sz w:val="44"/>
              <w:szCs w:val="44"/>
            </w:rPr>
          </w:pPr>
          <w:bookmarkStart w:id="34" w:name="_GoBack"/>
          <w:bookmarkEnd w:id="34"/>
          <w:bookmarkStart w:id="2" w:name="_Toc25695"/>
          <w:bookmarkStart w:id="3" w:name="_Toc27944"/>
          <w:r>
            <w:rPr>
              <w:rFonts w:hint="default" w:ascii="Times New Roman" w:hAnsi="Times New Roman" w:cs="Times New Roman"/>
              <w:b/>
              <w:bCs/>
              <w:color w:val="auto"/>
              <w:sz w:val="44"/>
              <w:szCs w:val="44"/>
              <w:lang w:val="zh-CN"/>
            </w:rPr>
            <w:t>目录</w:t>
          </w:r>
        </w:p>
        <w:p>
          <w:pPr>
            <w:pStyle w:val="12"/>
            <w:tabs>
              <w:tab w:val="right" w:leader="dot" w:pos="9320"/>
            </w:tabs>
          </w:pP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cs="Times New Roman"/>
              <w:szCs w:val="24"/>
            </w:rPr>
            <w:fldChar w:fldCharType="begin"/>
          </w:r>
          <w:r>
            <w:rPr>
              <w:rFonts w:hint="default" w:ascii="Times New Roman" w:hAnsi="Times New Roman" w:cs="Times New Roman"/>
              <w:szCs w:val="24"/>
            </w:rPr>
            <w:instrText xml:space="preserve"> HYPERLINK \l _Toc27454 </w:instrText>
          </w:r>
          <w:r>
            <w:rPr>
              <w:rFonts w:hint="default" w:ascii="Times New Roman" w:hAnsi="Times New Roman" w:cs="Times New Roman"/>
              <w:szCs w:val="24"/>
            </w:rPr>
            <w:fldChar w:fldCharType="separate"/>
          </w:r>
          <w:r>
            <w:rPr>
              <w:rFonts w:hint="default" w:ascii="Times New Roman" w:hAnsi="Times New Roman" w:cs="Times New Roman"/>
              <w:szCs w:val="28"/>
            </w:rPr>
            <w:t>声明</w:t>
          </w:r>
          <w:r>
            <w:tab/>
          </w:r>
          <w:r>
            <w:fldChar w:fldCharType="begin"/>
          </w:r>
          <w:r>
            <w:instrText xml:space="preserve"> PAGEREF _Toc27454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 w:ascii="Times New Roman" w:hAnsi="Times New Roman" w:cs="Times New Roman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9320"/>
            </w:tabs>
          </w:pP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instrText xml:space="preserve"> HYPERLINK \l _Toc24617 </w:instrText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separate"/>
          </w:r>
          <w:r>
            <w:rPr>
              <w:rFonts w:hint="eastAsia" w:ascii="Times New Roman" w:hAnsi="Times New Roman" w:cs="Times New Roman"/>
              <w:szCs w:val="36"/>
            </w:rPr>
            <w:t xml:space="preserve">一、 </w:t>
          </w:r>
          <w:r>
            <w:rPr>
              <w:rFonts w:hint="default" w:ascii="Times New Roman" w:hAnsi="Times New Roman" w:cs="Times New Roman"/>
              <w:szCs w:val="36"/>
            </w:rPr>
            <w:t>实验仪器</w:t>
          </w:r>
          <w:r>
            <w:tab/>
          </w:r>
          <w:r>
            <w:fldChar w:fldCharType="begin"/>
          </w:r>
          <w:r>
            <w:instrText xml:space="preserve"> PAGEREF _Toc24617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9320"/>
            </w:tabs>
          </w:pP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instrText xml:space="preserve"> HYPERLINK \l _Toc21716 </w:instrText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separate"/>
          </w:r>
          <w:r>
            <w:rPr>
              <w:rFonts w:hint="eastAsia" w:ascii="Times New Roman" w:hAnsi="Times New Roman" w:cs="Times New Roman"/>
              <w:szCs w:val="36"/>
            </w:rPr>
            <w:t xml:space="preserve">二、 </w:t>
          </w:r>
          <w:r>
            <w:rPr>
              <w:rFonts w:hint="default" w:ascii="Times New Roman" w:hAnsi="Times New Roman" w:cs="Times New Roman"/>
              <w:szCs w:val="36"/>
            </w:rPr>
            <w:t>试剂与耗材</w:t>
          </w:r>
          <w:r>
            <w:tab/>
          </w:r>
          <w:r>
            <w:fldChar w:fldCharType="begin"/>
          </w:r>
          <w:r>
            <w:instrText xml:space="preserve"> PAGEREF _Toc21716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9320"/>
            </w:tabs>
          </w:pP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instrText xml:space="preserve"> HYPERLINK \l _Toc14078 </w:instrText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separate"/>
          </w:r>
          <w:r>
            <w:rPr>
              <w:rFonts w:hint="eastAsia" w:ascii="Times New Roman" w:hAnsi="Times New Roman" w:cs="Times New Roman"/>
              <w:szCs w:val="36"/>
            </w:rPr>
            <w:t xml:space="preserve">三、 </w:t>
          </w:r>
          <w:r>
            <w:rPr>
              <w:rFonts w:hint="default" w:ascii="Times New Roman" w:hAnsi="Times New Roman" w:cs="Times New Roman"/>
              <w:szCs w:val="36"/>
            </w:rPr>
            <w:t>实验步骤</w:t>
          </w:r>
          <w:r>
            <w:tab/>
          </w:r>
          <w:r>
            <w:fldChar w:fldCharType="begin"/>
          </w:r>
          <w:r>
            <w:instrText xml:space="preserve"> PAGEREF _Toc14078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9320"/>
            </w:tabs>
          </w:pP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instrText xml:space="preserve"> HYPERLINK \l _Toc24747 </w:instrText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kern w:val="1"/>
              <w:szCs w:val="24"/>
              <w:lang w:val="en-US" w:eastAsia="zh-CN" w:bidi="ar-SA"/>
            </w:rPr>
            <w:t xml:space="preserve">（一） </w:t>
          </w:r>
          <w:r>
            <w:rPr>
              <w:rFonts w:hint="default" w:ascii="Times New Roman" w:hAnsi="Times New Roman" w:cs="Times New Roman"/>
              <w:szCs w:val="24"/>
              <w:lang w:val="en-US" w:eastAsia="zh-CN"/>
            </w:rPr>
            <w:t>样本前处理</w:t>
          </w:r>
          <w:r>
            <w:tab/>
          </w:r>
          <w:r>
            <w:fldChar w:fldCharType="begin"/>
          </w:r>
          <w:r>
            <w:instrText xml:space="preserve"> PAGEREF _Toc24747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9320"/>
            </w:tabs>
          </w:pP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instrText xml:space="preserve"> HYPERLINK \l _Toc278 </w:instrText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Cs/>
              <w:kern w:val="1"/>
              <w:szCs w:val="24"/>
              <w:lang w:val="en-US" w:eastAsia="zh-CN" w:bidi="ar-SA"/>
            </w:rPr>
            <w:t>1、组织（脾脏组织）</w:t>
          </w:r>
          <w:r>
            <w:tab/>
          </w:r>
          <w:r>
            <w:fldChar w:fldCharType="begin"/>
          </w:r>
          <w:r>
            <w:instrText xml:space="preserve"> PAGEREF _Toc278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9320"/>
            </w:tabs>
          </w:pP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instrText xml:space="preserve"> HYPERLINK \l _Toc23988 </w:instrText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Cs/>
              <w:kern w:val="1"/>
              <w:szCs w:val="24"/>
              <w:lang w:val="en-US" w:eastAsia="zh-CN" w:bidi="ar-SA"/>
            </w:rPr>
            <w:t>2、全血</w:t>
          </w:r>
          <w:r>
            <w:tab/>
          </w:r>
          <w:r>
            <w:fldChar w:fldCharType="begin"/>
          </w:r>
          <w:r>
            <w:instrText xml:space="preserve"> PAGEREF _Toc23988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9320"/>
            </w:tabs>
          </w:pP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instrText xml:space="preserve"> HYPERLINK \l _Toc2983 </w:instrText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Cs/>
              <w:kern w:val="1"/>
              <w:szCs w:val="24"/>
              <w:lang w:val="en-US" w:eastAsia="zh-CN" w:bidi="ar-SA"/>
            </w:rPr>
            <w:t>3、 细胞</w:t>
          </w:r>
          <w:r>
            <w:tab/>
          </w:r>
          <w:r>
            <w:fldChar w:fldCharType="begin"/>
          </w:r>
          <w:r>
            <w:instrText xml:space="preserve"> PAGEREF _Toc2983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9320"/>
            </w:tabs>
          </w:pP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instrText xml:space="preserve"> HYPERLINK \l _Toc32276 </w:instrText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separate"/>
          </w:r>
          <w:r>
            <w:rPr>
              <w:rFonts w:hint="eastAsia" w:ascii="Times New Roman" w:hAnsi="Times New Roman" w:cs="Times New Roman"/>
              <w:szCs w:val="24"/>
              <w:lang w:val="en-US" w:eastAsia="zh-CN"/>
            </w:rPr>
            <w:t xml:space="preserve">（二） </w:t>
          </w:r>
          <w:r>
            <w:rPr>
              <w:rFonts w:hint="default" w:ascii="Times New Roman" w:hAnsi="Times New Roman" w:cs="Times New Roman"/>
              <w:szCs w:val="24"/>
              <w:lang w:val="en-US" w:eastAsia="zh-CN"/>
            </w:rPr>
            <w:t>细胞染色</w:t>
          </w:r>
          <w:r>
            <w:tab/>
          </w:r>
          <w:r>
            <w:fldChar w:fldCharType="begin"/>
          </w:r>
          <w:r>
            <w:instrText xml:space="preserve"> PAGEREF _Toc32276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9320"/>
            </w:tabs>
          </w:pP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instrText xml:space="preserve"> HYPERLINK \l _Toc6894 </w:instrText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separate"/>
          </w:r>
          <w:r>
            <w:rPr>
              <w:rFonts w:hint="eastAsia" w:ascii="Times New Roman" w:hAnsi="Times New Roman" w:cs="Times New Roman"/>
              <w:szCs w:val="36"/>
            </w:rPr>
            <w:t xml:space="preserve">四、 </w:t>
          </w:r>
          <w:r>
            <w:rPr>
              <w:rFonts w:hint="default" w:ascii="Times New Roman" w:hAnsi="Times New Roman" w:cs="Times New Roman"/>
              <w:szCs w:val="36"/>
            </w:rPr>
            <w:t>实验结果</w:t>
          </w:r>
          <w:r>
            <w:tab/>
          </w:r>
          <w:r>
            <w:fldChar w:fldCharType="begin"/>
          </w:r>
          <w:r>
            <w:instrText xml:space="preserve"> PAGEREF _Toc6894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9320"/>
            </w:tabs>
          </w:pP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instrText xml:space="preserve"> HYPERLINK \l _Toc27953 </w:instrText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separate"/>
          </w:r>
          <w:r>
            <w:rPr>
              <w:rFonts w:hint="eastAsia" w:ascii="Times New Roman" w:hAnsi="Times New Roman" w:cs="Times New Roman"/>
              <w:bCs/>
              <w:szCs w:val="24"/>
            </w:rPr>
            <w:t xml:space="preserve">（一） </w:t>
          </w:r>
          <w:r>
            <w:rPr>
              <w:rFonts w:hint="default" w:ascii="Times New Roman" w:hAnsi="Times New Roman" w:cs="Times New Roman"/>
              <w:bCs/>
              <w:szCs w:val="24"/>
              <w:lang w:val="en-US" w:eastAsia="zh-CN"/>
            </w:rPr>
            <w:t>图片</w:t>
          </w:r>
          <w:r>
            <w:rPr>
              <w:rFonts w:hint="default" w:ascii="Times New Roman" w:hAnsi="Times New Roman" w:cs="Times New Roman"/>
              <w:bCs/>
              <w:szCs w:val="24"/>
            </w:rPr>
            <w:t>结果分析举例</w:t>
          </w:r>
          <w:r>
            <w:tab/>
          </w:r>
          <w:r>
            <w:fldChar w:fldCharType="begin"/>
          </w:r>
          <w:r>
            <w:instrText xml:space="preserve"> PAGEREF _Toc27953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9320"/>
            </w:tabs>
          </w:pP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instrText xml:space="preserve"> HYPERLINK \l _Toc11363 </w:instrText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separate"/>
          </w:r>
          <w:r>
            <w:rPr>
              <w:rFonts w:hint="eastAsia" w:ascii="Times New Roman" w:hAnsi="Times New Roman" w:cs="Times New Roman"/>
              <w:bCs/>
              <w:szCs w:val="24"/>
            </w:rPr>
            <w:t xml:space="preserve">（二） </w:t>
          </w:r>
          <w:r>
            <w:rPr>
              <w:rFonts w:hint="default" w:ascii="Times New Roman" w:hAnsi="Times New Roman" w:cs="Times New Roman"/>
              <w:bCs/>
              <w:szCs w:val="24"/>
              <w:lang w:val="en-US" w:eastAsia="zh-CN"/>
            </w:rPr>
            <w:t>统计</w:t>
          </w:r>
          <w:r>
            <w:rPr>
              <w:rFonts w:hint="default" w:ascii="Times New Roman" w:hAnsi="Times New Roman" w:cs="Times New Roman"/>
              <w:bCs/>
              <w:szCs w:val="24"/>
            </w:rPr>
            <w:t>结果分析举例</w:t>
          </w:r>
          <w:r>
            <w:tab/>
          </w:r>
          <w:r>
            <w:fldChar w:fldCharType="begin"/>
          </w:r>
          <w:r>
            <w:instrText xml:space="preserve"> PAGEREF _Toc11363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end"/>
          </w:r>
        </w:p>
        <w:p>
          <w:pPr>
            <w:kinsoku/>
            <w:wordWrap/>
            <w:overflowPunct/>
            <w:topLinePunct w:val="0"/>
            <w:bidi w:val="0"/>
            <w:spacing w:line="360" w:lineRule="auto"/>
            <w:rPr>
              <w:rFonts w:hint="default" w:ascii="Times New Roman" w:hAnsi="Times New Roman" w:cs="Times New Roman"/>
              <w:b/>
              <w:bCs/>
              <w:sz w:val="24"/>
              <w:szCs w:val="24"/>
              <w:lang w:val="zh-CN"/>
            </w:rPr>
          </w:pP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end"/>
          </w:r>
        </w:p>
      </w:sdtContent>
    </w:sdt>
    <w:p>
      <w:pPr>
        <w:widowControl/>
        <w:kinsoku/>
        <w:wordWrap/>
        <w:overflowPunct/>
        <w:topLinePunct w:val="0"/>
        <w:bidi w:val="0"/>
        <w:spacing w:line="360" w:lineRule="auto"/>
        <w:jc w:val="left"/>
        <w:rPr>
          <w:rFonts w:hint="default" w:ascii="Times New Roman" w:hAnsi="Times New Roman" w:cs="Times New Roman"/>
          <w:b/>
          <w:sz w:val="36"/>
          <w:szCs w:val="36"/>
        </w:rPr>
      </w:pPr>
      <w:r>
        <w:rPr>
          <w:rFonts w:hint="default" w:ascii="Times New Roman" w:hAnsi="Times New Roman" w:cs="Times New Roman"/>
          <w:sz w:val="36"/>
          <w:szCs w:val="36"/>
        </w:rPr>
        <w:br w:type="page"/>
      </w:r>
    </w:p>
    <w:p>
      <w:pPr>
        <w:pStyle w:val="2"/>
        <w:keepNext/>
        <w:keepLines/>
        <w:pageBreakBefore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430" w:beforeLines="150" w:after="430" w:afterLines="150" w:line="360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sz w:val="36"/>
          <w:szCs w:val="36"/>
        </w:rPr>
      </w:pPr>
      <w:bookmarkStart w:id="4" w:name="_Toc24617"/>
      <w:r>
        <w:rPr>
          <w:rFonts w:hint="default" w:ascii="Times New Roman" w:hAnsi="Times New Roman" w:cs="Times New Roman"/>
          <w:sz w:val="36"/>
          <w:szCs w:val="36"/>
        </w:rPr>
        <w:t>实验仪器</w:t>
      </w:r>
      <w:bookmarkEnd w:id="2"/>
      <w:bookmarkEnd w:id="3"/>
      <w:bookmarkEnd w:id="4"/>
    </w:p>
    <w:tbl>
      <w:tblPr>
        <w:tblStyle w:val="15"/>
        <w:tblW w:w="9258" w:type="dxa"/>
        <w:tblInd w:w="0" w:type="dxa"/>
        <w:tblBorders>
          <w:top w:val="single" w:color="000000" w:sz="4" w:space="0"/>
          <w:left w:val="none" w:color="auto" w:sz="0" w:space="0"/>
          <w:bottom w:val="single" w:color="000000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8"/>
        <w:gridCol w:w="3080"/>
        <w:gridCol w:w="2610"/>
      </w:tblGrid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3568" w:type="dxa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36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实验仪器</w:t>
            </w:r>
          </w:p>
        </w:tc>
        <w:tc>
          <w:tcPr>
            <w:tcW w:w="3080" w:type="dxa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36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2610" w:type="dxa"/>
            <w:tcBorders>
              <w:top w:val="single" w:color="000000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36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3568" w:type="dxa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二氧化碳培养箱</w:t>
            </w:r>
          </w:p>
        </w:tc>
        <w:tc>
          <w:tcPr>
            <w:tcW w:w="3080" w:type="dxa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LABGIC</w:t>
            </w:r>
          </w:p>
        </w:tc>
        <w:tc>
          <w:tcPr>
            <w:tcW w:w="2610" w:type="dxa"/>
            <w:tcBorders>
              <w:top w:val="single" w:color="auto" w:sz="4" w:space="0"/>
            </w:tcBorders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COI-80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3568" w:type="dxa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流式细胞仪</w:t>
            </w:r>
          </w:p>
        </w:tc>
        <w:tc>
          <w:tcPr>
            <w:tcW w:w="3080" w:type="dxa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层浪</w:t>
            </w:r>
          </w:p>
        </w:tc>
        <w:tc>
          <w:tcPr>
            <w:tcW w:w="2610" w:type="dxa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FongCy C2080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3568" w:type="dxa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净化工作台</w:t>
            </w:r>
          </w:p>
        </w:tc>
        <w:tc>
          <w:tcPr>
            <w:tcW w:w="3080" w:type="dxa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尚光</w:t>
            </w:r>
          </w:p>
        </w:tc>
        <w:tc>
          <w:tcPr>
            <w:tcW w:w="2610" w:type="dxa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1FD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568" w:type="dxa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高速微量冷冻离心机</w:t>
            </w:r>
          </w:p>
        </w:tc>
        <w:tc>
          <w:tcPr>
            <w:tcW w:w="3080" w:type="dxa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SciloEGX</w:t>
            </w:r>
          </w:p>
        </w:tc>
        <w:tc>
          <w:tcPr>
            <w:tcW w:w="2610" w:type="dxa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CF1524R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3568" w:type="dxa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高速大容量冷冻离心机</w:t>
            </w:r>
          </w:p>
        </w:tc>
        <w:tc>
          <w:tcPr>
            <w:tcW w:w="3080" w:type="dxa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LABGIC</w:t>
            </w:r>
          </w:p>
        </w:tc>
        <w:tc>
          <w:tcPr>
            <w:tcW w:w="2610" w:type="dxa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L-CM-4019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3568" w:type="dxa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涡旋混合器</w:t>
            </w:r>
          </w:p>
        </w:tc>
        <w:tc>
          <w:tcPr>
            <w:tcW w:w="3080" w:type="dxa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塞维尔</w:t>
            </w:r>
          </w:p>
        </w:tc>
        <w:tc>
          <w:tcPr>
            <w:tcW w:w="2610" w:type="dxa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MV-100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3568" w:type="dxa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bookmarkStart w:id="5" w:name="_Toc28846"/>
            <w:bookmarkStart w:id="6" w:name="_Toc9766"/>
            <w:r>
              <w:rPr>
                <w:rFonts w:hint="default" w:ascii="Times New Roman" w:hAnsi="Times New Roman" w:cs="Times New Roman"/>
                <w:szCs w:val="21"/>
              </w:rPr>
              <w:t>手动移液枪</w:t>
            </w:r>
          </w:p>
        </w:tc>
        <w:tc>
          <w:tcPr>
            <w:tcW w:w="3080" w:type="dxa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Thermo</w:t>
            </w:r>
          </w:p>
        </w:tc>
        <w:tc>
          <w:tcPr>
            <w:tcW w:w="2610" w:type="dxa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4640060</w:t>
            </w:r>
          </w:p>
        </w:tc>
      </w:tr>
    </w:tbl>
    <w:p>
      <w:pPr>
        <w:pStyle w:val="2"/>
        <w:keepNext/>
        <w:keepLines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430" w:beforeLines="150" w:after="430" w:afterLines="150" w:line="360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sz w:val="36"/>
          <w:szCs w:val="36"/>
        </w:rPr>
      </w:pPr>
      <w:bookmarkStart w:id="7" w:name="_Toc475364643"/>
      <w:bookmarkEnd w:id="7"/>
      <w:bookmarkStart w:id="8" w:name="_Toc457908950"/>
      <w:bookmarkEnd w:id="8"/>
      <w:bookmarkStart w:id="9" w:name="_Toc457909480"/>
      <w:bookmarkEnd w:id="9"/>
      <w:bookmarkStart w:id="10" w:name="_Toc21716"/>
      <w:r>
        <w:rPr>
          <w:rFonts w:hint="default" w:ascii="Times New Roman" w:hAnsi="Times New Roman" w:cs="Times New Roman"/>
          <w:sz w:val="36"/>
          <w:szCs w:val="36"/>
        </w:rPr>
        <w:t>试剂与耗材</w:t>
      </w:r>
      <w:bookmarkEnd w:id="5"/>
      <w:bookmarkEnd w:id="6"/>
      <w:bookmarkEnd w:id="10"/>
      <w:bookmarkStart w:id="11" w:name="_Toc457908951"/>
      <w:bookmarkEnd w:id="11"/>
      <w:bookmarkStart w:id="12" w:name="_Toc457909481"/>
      <w:bookmarkEnd w:id="12"/>
      <w:bookmarkStart w:id="13" w:name="_Toc2940"/>
      <w:bookmarkStart w:id="14" w:name="_Toc9399"/>
    </w:p>
    <w:tbl>
      <w:tblPr>
        <w:tblStyle w:val="15"/>
        <w:tblW w:w="4864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4"/>
        <w:gridCol w:w="3135"/>
        <w:gridCol w:w="2628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93" w:type="pct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36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1689" w:type="pct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36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1416" w:type="pct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36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93" w:type="pct"/>
            <w:tcBorders>
              <w:top w:val="single" w:color="auto" w:sz="4" w:space="0"/>
            </w:tcBorders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Calcein AM Solution</w:t>
            </w:r>
          </w:p>
        </w:tc>
        <w:tc>
          <w:tcPr>
            <w:tcW w:w="1689" w:type="pct"/>
            <w:tcBorders>
              <w:top w:val="single" w:color="auto" w:sz="4" w:space="0"/>
            </w:tcBorders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Elabscience</w:t>
            </w:r>
          </w:p>
        </w:tc>
        <w:tc>
          <w:tcPr>
            <w:tcW w:w="1416" w:type="pct"/>
            <w:tcBorders>
              <w:top w:val="single" w:color="auto" w:sz="4" w:space="0"/>
            </w:tcBorders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E-CK-A164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93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PI Reagent（50 μg/mL）</w:t>
            </w:r>
          </w:p>
        </w:tc>
        <w:tc>
          <w:tcPr>
            <w:tcW w:w="1689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Elabscience</w:t>
            </w:r>
          </w:p>
        </w:tc>
        <w:tc>
          <w:tcPr>
            <w:tcW w:w="1416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E-CK-A16</w:t>
            </w: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93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Calcein AM Assay Buffer</w:t>
            </w:r>
          </w:p>
        </w:tc>
        <w:tc>
          <w:tcPr>
            <w:tcW w:w="1689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Elabscience</w:t>
            </w:r>
          </w:p>
        </w:tc>
        <w:tc>
          <w:tcPr>
            <w:tcW w:w="1416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E-CK-A153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93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磷酸盐缓冲液（PBS）</w:t>
            </w:r>
          </w:p>
        </w:tc>
        <w:tc>
          <w:tcPr>
            <w:tcW w:w="1689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Biosharp</w:t>
            </w:r>
          </w:p>
        </w:tc>
        <w:tc>
          <w:tcPr>
            <w:tcW w:w="1416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BL316A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93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血球计数板</w:t>
            </w:r>
          </w:p>
        </w:tc>
        <w:tc>
          <w:tcPr>
            <w:tcW w:w="1689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Marienfeld</w:t>
            </w:r>
          </w:p>
        </w:tc>
        <w:tc>
          <w:tcPr>
            <w:tcW w:w="1416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650030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93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台盼蓝染色液(0.4%)</w:t>
            </w:r>
          </w:p>
        </w:tc>
        <w:tc>
          <w:tcPr>
            <w:tcW w:w="1689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Biosharp</w:t>
            </w:r>
          </w:p>
        </w:tc>
        <w:tc>
          <w:tcPr>
            <w:tcW w:w="1416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BL627A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93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70</w:t>
            </w: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 xml:space="preserve"> μ</w:t>
            </w:r>
            <w:r>
              <w:rPr>
                <w:rFonts w:hint="default" w:ascii="Times New Roman" w:hAnsi="Times New Roman" w:cs="Times New Roman"/>
                <w:szCs w:val="21"/>
              </w:rPr>
              <w:t>m白色细胞滤网</w:t>
            </w:r>
          </w:p>
        </w:tc>
        <w:tc>
          <w:tcPr>
            <w:tcW w:w="1689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Biosharp</w:t>
            </w:r>
          </w:p>
        </w:tc>
        <w:tc>
          <w:tcPr>
            <w:tcW w:w="1416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BS-70-XBS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54" w:hRule="atLeast"/>
        </w:trPr>
        <w:tc>
          <w:tcPr>
            <w:tcW w:w="1893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胶头滴管</w:t>
            </w:r>
          </w:p>
        </w:tc>
        <w:tc>
          <w:tcPr>
            <w:tcW w:w="1689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Biosharp</w:t>
            </w:r>
          </w:p>
        </w:tc>
        <w:tc>
          <w:tcPr>
            <w:tcW w:w="1416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BS-XG-03L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93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5</w:t>
            </w: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Cs w:val="21"/>
                <w:lang w:eastAsia="zh-CN"/>
              </w:rPr>
              <w:t>mL</w:t>
            </w:r>
            <w:r>
              <w:rPr>
                <w:rFonts w:hint="default" w:ascii="Times New Roman" w:hAnsi="Times New Roman" w:cs="Times New Roman"/>
                <w:szCs w:val="21"/>
              </w:rPr>
              <w:t>医用注射器带针</w:t>
            </w:r>
          </w:p>
        </w:tc>
        <w:tc>
          <w:tcPr>
            <w:tcW w:w="1689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赣发</w:t>
            </w:r>
          </w:p>
        </w:tc>
        <w:tc>
          <w:tcPr>
            <w:tcW w:w="1416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20230619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93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胰蛋白酶（Trypsin）</w:t>
            </w:r>
          </w:p>
        </w:tc>
        <w:tc>
          <w:tcPr>
            <w:tcW w:w="1689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Biosharp</w:t>
            </w:r>
          </w:p>
        </w:tc>
        <w:tc>
          <w:tcPr>
            <w:tcW w:w="1416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BL526A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93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红细胞裂解液</w:t>
            </w:r>
          </w:p>
        </w:tc>
        <w:tc>
          <w:tcPr>
            <w:tcW w:w="1689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solarbio</w:t>
            </w:r>
          </w:p>
        </w:tc>
        <w:tc>
          <w:tcPr>
            <w:tcW w:w="0" w:type="auto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R1010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93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离心管</w:t>
            </w:r>
          </w:p>
        </w:tc>
        <w:tc>
          <w:tcPr>
            <w:tcW w:w="1689" w:type="pct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LABSELECT</w:t>
            </w:r>
          </w:p>
        </w:tc>
        <w:tc>
          <w:tcPr>
            <w:tcW w:w="0" w:type="auto"/>
            <w:vAlign w:val="center"/>
          </w:tcPr>
          <w:p>
            <w:pPr>
              <w:kinsoku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BS-15-M</w:t>
            </w:r>
          </w:p>
        </w:tc>
      </w:tr>
    </w:tbl>
    <w:p>
      <w:pPr>
        <w:pStyle w:val="2"/>
        <w:keepNext/>
        <w:keepLines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pacing w:before="430" w:beforeLines="150" w:after="430" w:afterLines="150" w:line="360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sz w:val="36"/>
          <w:szCs w:val="36"/>
        </w:rPr>
      </w:pPr>
      <w:bookmarkStart w:id="15" w:name="_Toc14078"/>
      <w:r>
        <w:rPr>
          <w:rFonts w:hint="default" w:ascii="Times New Roman" w:hAnsi="Times New Roman" w:cs="Times New Roman"/>
          <w:sz w:val="36"/>
          <w:szCs w:val="36"/>
        </w:rPr>
        <w:t>实验步骤</w:t>
      </w:r>
      <w:bookmarkEnd w:id="15"/>
    </w:p>
    <w:p>
      <w:pPr>
        <w:pStyle w:val="3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430" w:beforeLines="150" w:after="430" w:afterLines="150" w:line="360" w:lineRule="auto"/>
        <w:ind w:left="0" w:leftChars="0" w:firstLine="0" w:firstLineChars="0"/>
        <w:textAlignment w:val="auto"/>
        <w:rPr>
          <w:rFonts w:hint="default" w:ascii="Times New Roman" w:hAnsi="Times New Roman" w:eastAsia="宋体" w:cs="Times New Roman"/>
          <w:b/>
          <w:bCs/>
          <w:kern w:val="1"/>
          <w:sz w:val="24"/>
          <w:szCs w:val="24"/>
          <w:lang w:val="en-US" w:eastAsia="zh-CN" w:bidi="ar-SA"/>
        </w:rPr>
      </w:pPr>
      <w:bookmarkStart w:id="16" w:name="_Toc24747"/>
      <w:bookmarkStart w:id="17" w:name="_Toc427055564"/>
      <w:bookmarkStart w:id="18" w:name="_Toc429557653"/>
      <w:bookmarkStart w:id="19" w:name="_Toc14455"/>
      <w:bookmarkStart w:id="20" w:name="_Toc22765"/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样本前处理</w:t>
      </w:r>
      <w:bookmarkEnd w:id="16"/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b/>
          <w:bCs/>
          <w:kern w:val="1"/>
          <w:sz w:val="24"/>
          <w:szCs w:val="24"/>
          <w:lang w:val="en-US" w:eastAsia="zh-CN" w:bidi="ar-SA"/>
        </w:rPr>
      </w:pPr>
      <w:bookmarkStart w:id="21" w:name="_Toc278"/>
      <w:r>
        <w:rPr>
          <w:rFonts w:hint="default" w:ascii="Times New Roman" w:hAnsi="Times New Roman" w:eastAsia="宋体" w:cs="Times New Roman"/>
          <w:b/>
          <w:bCs/>
          <w:kern w:val="1"/>
          <w:sz w:val="24"/>
          <w:szCs w:val="24"/>
          <w:lang w:val="en-US" w:eastAsia="zh-CN" w:bidi="ar-SA"/>
        </w:rPr>
        <w:t>1、</w:t>
      </w:r>
      <w:bookmarkEnd w:id="17"/>
      <w:bookmarkEnd w:id="18"/>
      <w:r>
        <w:rPr>
          <w:rFonts w:hint="default" w:ascii="Times New Roman" w:hAnsi="Times New Roman" w:eastAsia="宋体" w:cs="Times New Roman"/>
          <w:b/>
          <w:bCs/>
          <w:kern w:val="1"/>
          <w:sz w:val="24"/>
          <w:szCs w:val="24"/>
          <w:lang w:val="en-US" w:eastAsia="zh-CN" w:bidi="ar-SA"/>
        </w:rPr>
        <w:t>组织（脾脏组织）</w:t>
      </w:r>
      <w:bookmarkEnd w:id="19"/>
      <w:bookmarkEnd w:id="21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1、将组织放在滤网中，研磨组织同时加PBS，直到组织全部研磨完毕。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2、将研磨的50 mL离心管中的组织悬液4℃ 离心5 min。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3、弃上清，向沉淀加入3 mL红细胞裂解液并吹打重悬沉淀，裂解沉淀1 min。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4、向红细胞裂解液重悬的沉淀加30 mL PBS，混匀，终止裂红，4℃离心5 min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5、弃上清，1 mL PBS重悬，取10 μL细胞悬液测浓度。</w:t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b/>
          <w:bCs/>
          <w:kern w:val="1"/>
          <w:sz w:val="24"/>
          <w:szCs w:val="24"/>
          <w:lang w:val="en-US" w:eastAsia="zh-CN" w:bidi="ar-SA"/>
        </w:rPr>
      </w:pPr>
      <w:bookmarkStart w:id="22" w:name="_Toc427055565"/>
      <w:bookmarkStart w:id="23" w:name="_Toc429557654"/>
      <w:bookmarkStart w:id="24" w:name="_Toc22459"/>
      <w:bookmarkStart w:id="25" w:name="_Toc23988"/>
      <w:r>
        <w:rPr>
          <w:rFonts w:hint="default" w:ascii="Times New Roman" w:hAnsi="Times New Roman" w:eastAsia="宋体" w:cs="Times New Roman"/>
          <w:b/>
          <w:bCs/>
          <w:kern w:val="1"/>
          <w:sz w:val="24"/>
          <w:szCs w:val="24"/>
          <w:lang w:val="en-US" w:eastAsia="zh-CN" w:bidi="ar-SA"/>
        </w:rPr>
        <w:t>2、</w:t>
      </w:r>
      <w:bookmarkEnd w:id="22"/>
      <w:bookmarkEnd w:id="23"/>
      <w:r>
        <w:rPr>
          <w:rFonts w:hint="default" w:ascii="Times New Roman" w:hAnsi="Times New Roman" w:eastAsia="宋体" w:cs="Times New Roman"/>
          <w:b/>
          <w:bCs/>
          <w:kern w:val="1"/>
          <w:sz w:val="24"/>
          <w:szCs w:val="24"/>
          <w:lang w:val="en-US" w:eastAsia="zh-CN" w:bidi="ar-SA"/>
        </w:rPr>
        <w:t>全血</w:t>
      </w:r>
      <w:bookmarkEnd w:id="24"/>
      <w:bookmarkEnd w:id="25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1、取100μL抗凝血，4℃，离心5min，离心弃上清。加入1 ml红细胞裂解液，轻轻吹打混匀，裂解1 min。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2、4℃，离心5 min，弃红色上清。预冷PBS重悬细胞，4℃，离心2 min。再次加入1 ml红细胞裂解液，混匀，裂解1 min。4℃，5 min，弃红色上清。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3、1 mL预冷PBS重悬细胞，4℃，离心2 min。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4、500 μL预冷的PBS重悬细胞，取10 μL细胞悬液测浓度。</w:t>
      </w:r>
    </w:p>
    <w:p>
      <w:pPr>
        <w:pStyle w:val="4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b/>
          <w:bCs/>
          <w:kern w:val="1"/>
          <w:sz w:val="24"/>
          <w:szCs w:val="24"/>
          <w:lang w:val="en-US" w:eastAsia="zh-CN" w:bidi="ar-SA"/>
        </w:rPr>
      </w:pPr>
      <w:bookmarkStart w:id="26" w:name="_Toc15159"/>
      <w:bookmarkStart w:id="27" w:name="_Toc2983"/>
      <w:r>
        <w:rPr>
          <w:rFonts w:hint="default" w:ascii="Times New Roman" w:hAnsi="Times New Roman" w:eastAsia="宋体" w:cs="Times New Roman"/>
          <w:b/>
          <w:bCs/>
          <w:kern w:val="1"/>
          <w:sz w:val="24"/>
          <w:szCs w:val="24"/>
          <w:lang w:val="en-US" w:eastAsia="zh-CN" w:bidi="ar-SA"/>
        </w:rPr>
        <w:t>细胞</w:t>
      </w:r>
      <w:bookmarkEnd w:id="26"/>
      <w:bookmarkEnd w:id="27"/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贴壁细胞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1、去掉孔板中的培养基，加入 PBS清洗细胞5 min后，去掉PBS。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2、向孔板加入500 μL不含EDTA的胰酶，将孔板置于37℃消化细胞。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3、吹下贴壁的细胞，将细胞悬液转至离心管中，1200 rpm离心5 min。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去掉上清， PBS重悬沉淀即为单细胞悬液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悬浮细胞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1、吹打混匀孔板中的细胞，转移至离心管中，1200 rpm离心5 min。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2、去掉上清，用PBS重悬沉淀即为单细胞悬液，取10 μL细胞悬液测浓度。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度。</w:t>
      </w:r>
    </w:p>
    <w:bookmarkEnd w:id="20"/>
    <w:p>
      <w:pPr>
        <w:pStyle w:val="3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430" w:beforeLines="150" w:after="430" w:afterLines="150" w:line="360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bookmarkStart w:id="28" w:name="_Toc7190"/>
      <w:bookmarkStart w:id="29" w:name="_Toc32276"/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细胞染色</w:t>
      </w:r>
      <w:bookmarkEnd w:id="28"/>
      <w:bookmarkEnd w:id="29"/>
    </w:p>
    <w:p>
      <w:pPr>
        <w:kinsoku/>
        <w:wordWrap/>
        <w:overflowPunct/>
        <w:topLinePunct w:val="0"/>
        <w:bidi w:val="0"/>
        <w:spacing w:line="360" w:lineRule="auto"/>
        <w:ind w:firstLine="48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t>1、按实验方案对细胞进行处理后，收集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6孔板中</w:t>
      </w:r>
      <w:r>
        <w:rPr>
          <w:rFonts w:hint="default" w:ascii="Times New Roman" w:hAnsi="Times New Roman" w:cs="Times New Roman"/>
          <w:sz w:val="24"/>
          <w:szCs w:val="24"/>
        </w:rPr>
        <w:t>细胞，300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g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离心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5 min，弃上清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。</w:t>
      </w:r>
    </w:p>
    <w:p>
      <w:pPr>
        <w:kinsoku/>
        <w:wordWrap/>
        <w:overflowPunct/>
        <w:topLinePunct w:val="0"/>
        <w:bidi w:val="0"/>
        <w:spacing w:line="360" w:lineRule="auto"/>
        <w:ind w:firstLine="48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t>2、加入PBS重悬细胞沉淀，300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g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离心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5 min，弃上清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。</w:t>
      </w:r>
    </w:p>
    <w:p>
      <w:pPr>
        <w:kinsoku/>
        <w:wordWrap/>
        <w:overflowPunct/>
        <w:topLinePunct w:val="0"/>
        <w:bidi w:val="0"/>
        <w:spacing w:line="360" w:lineRule="auto"/>
        <w:ind w:firstLine="480"/>
        <w:rPr>
          <w:rFonts w:hint="default" w:ascii="Times New Roman" w:hAnsi="Times New Roman" w:cs="Times New Roman"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t>3、根据试剂盒说明书，以及样本数量，配置Calcein AM染色工作液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。</w:t>
      </w:r>
    </w:p>
    <w:p>
      <w:pPr>
        <w:kinsoku/>
        <w:wordWrap/>
        <w:overflowPunct/>
        <w:topLinePunct w:val="0"/>
        <w:bidi w:val="0"/>
        <w:spacing w:line="360" w:lineRule="auto"/>
        <w:rPr>
          <w:rFonts w:hint="default" w:ascii="Times New Roman" w:hAnsi="Times New Roman" w:cs="Times New Roman"/>
        </w:rPr>
      </w:pPr>
    </w:p>
    <w:tbl>
      <w:tblPr>
        <w:tblStyle w:val="16"/>
        <w:tblW w:w="0" w:type="auto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0"/>
        <w:gridCol w:w="1293"/>
        <w:gridCol w:w="2207"/>
        <w:gridCol w:w="2019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3200" w:type="dxa"/>
            <w:vMerge w:val="restart"/>
            <w:tcBorders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>组分</w:t>
            </w:r>
          </w:p>
        </w:tc>
        <w:tc>
          <w:tcPr>
            <w:tcW w:w="5519" w:type="dxa"/>
            <w:gridSpan w:val="3"/>
            <w:tcBorders>
              <w:lef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  <w:t>Calcein AM染色工作液体积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  <w:jc w:val="center"/>
        </w:trPr>
        <w:tc>
          <w:tcPr>
            <w:tcW w:w="3200" w:type="dxa"/>
            <w:vMerge w:val="continue"/>
            <w:tcBorders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93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  <w:t xml:space="preserve">1 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lang w:eastAsia="zh-CN"/>
              </w:rPr>
              <w:t>mL</w:t>
            </w:r>
          </w:p>
        </w:tc>
        <w:tc>
          <w:tcPr>
            <w:tcW w:w="2207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  <w:t xml:space="preserve">5 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lang w:eastAsia="zh-CN"/>
              </w:rPr>
              <w:t>mL</w:t>
            </w:r>
          </w:p>
        </w:tc>
        <w:tc>
          <w:tcPr>
            <w:tcW w:w="2019" w:type="dxa"/>
            <w:tcBorders>
              <w:lef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  <w:t xml:space="preserve">10 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lang w:eastAsia="zh-CN"/>
              </w:rPr>
              <w:t>mL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  <w:jc w:val="center"/>
        </w:trPr>
        <w:tc>
          <w:tcPr>
            <w:tcW w:w="3200" w:type="dxa"/>
            <w:tcBorders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Calcein AM Solution (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1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μM)</w:t>
            </w:r>
          </w:p>
        </w:tc>
        <w:tc>
          <w:tcPr>
            <w:tcW w:w="1293" w:type="dxa"/>
            <w:tcBorders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5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  <w:t>μL</w:t>
            </w:r>
          </w:p>
        </w:tc>
        <w:tc>
          <w:tcPr>
            <w:tcW w:w="2207" w:type="dxa"/>
            <w:tcBorders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25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  <w:t>μL</w:t>
            </w:r>
          </w:p>
        </w:tc>
        <w:tc>
          <w:tcPr>
            <w:tcW w:w="2019" w:type="dxa"/>
            <w:tcBorders>
              <w:left w:val="nil"/>
              <w:bottom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50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  <w:t>μL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3200" w:type="dxa"/>
            <w:tcBorders>
              <w:top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Calcein AM Assay Buffer</w:t>
            </w:r>
          </w:p>
        </w:tc>
        <w:tc>
          <w:tcPr>
            <w:tcW w:w="129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  <w:t>mL</w:t>
            </w:r>
          </w:p>
        </w:tc>
        <w:tc>
          <w:tcPr>
            <w:tcW w:w="2207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5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  <w:t>mL</w:t>
            </w:r>
          </w:p>
        </w:tc>
        <w:tc>
          <w:tcPr>
            <w:tcW w:w="2019" w:type="dxa"/>
            <w:tcBorders>
              <w:top w:val="nil"/>
              <w:lef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  <w:t>mL</w:t>
            </w:r>
          </w:p>
        </w:tc>
      </w:tr>
    </w:tbl>
    <w:p>
      <w:pPr>
        <w:kinsoku/>
        <w:wordWrap/>
        <w:overflowPunct/>
        <w:topLinePunct w:val="0"/>
        <w:bidi w:val="0"/>
        <w:spacing w:line="360" w:lineRule="auto"/>
        <w:rPr>
          <w:rFonts w:hint="default" w:ascii="Times New Roman" w:hAnsi="Times New Roman" w:cs="Times New Roman"/>
        </w:rPr>
      </w:pPr>
    </w:p>
    <w:p>
      <w:pPr>
        <w:kinsoku/>
        <w:wordWrap/>
        <w:overflowPunct/>
        <w:topLinePunct w:val="0"/>
        <w:bidi w:val="0"/>
        <w:spacing w:line="360" w:lineRule="auto"/>
        <w:ind w:firstLine="48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4、每组细胞加入 200 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μL</w:t>
      </w:r>
      <w:r>
        <w:rPr>
          <w:rFonts w:hint="default" w:ascii="Times New Roman" w:hAnsi="Times New Roman" w:cs="Times New Roman"/>
          <w:sz w:val="24"/>
          <w:szCs w:val="24"/>
        </w:rPr>
        <w:t xml:space="preserve"> 染色工作液重悬，室温避光孵育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t>5 min。</w:t>
      </w:r>
    </w:p>
    <w:p>
      <w:pPr>
        <w:kinsoku/>
        <w:wordWrap/>
        <w:overflowPunct/>
        <w:topLinePunct w:val="0"/>
        <w:bidi w:val="0"/>
        <w:spacing w:line="360" w:lineRule="auto"/>
        <w:ind w:firstLine="480"/>
        <w:rPr>
          <w:rFonts w:hint="default" w:ascii="Times New Roman" w:hAnsi="Times New Roman" w:cs="Times New Roman"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t>5、孵育完成后，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样本</w:t>
      </w:r>
      <w:r>
        <w:rPr>
          <w:rFonts w:hint="default" w:ascii="Times New Roman" w:hAnsi="Times New Roman" w:cs="Times New Roman"/>
          <w:sz w:val="24"/>
          <w:szCs w:val="24"/>
        </w:rPr>
        <w:t>可以直接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加入PI的染色液5 μL，</w:t>
      </w:r>
      <w:r>
        <w:rPr>
          <w:rFonts w:hint="default" w:ascii="Times New Roman" w:hAnsi="Times New Roman" w:cs="Times New Roman"/>
          <w:sz w:val="24"/>
          <w:szCs w:val="24"/>
        </w:rPr>
        <w:t>室温避光孵育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15</w:t>
      </w:r>
      <w:r>
        <w:rPr>
          <w:rFonts w:hint="default" w:ascii="Times New Roman" w:hAnsi="Times New Roman" w:cs="Times New Roman"/>
          <w:sz w:val="24"/>
          <w:szCs w:val="24"/>
        </w:rPr>
        <w:t xml:space="preserve"> min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。</w:t>
      </w:r>
    </w:p>
    <w:p>
      <w:pPr>
        <w:kinsoku/>
        <w:wordWrap/>
        <w:overflowPunct/>
        <w:topLinePunct w:val="0"/>
        <w:bidi w:val="0"/>
        <w:spacing w:line="360" w:lineRule="auto"/>
        <w:ind w:firstLine="48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6、</w:t>
      </w:r>
      <w:r>
        <w:rPr>
          <w:rFonts w:hint="default" w:ascii="Times New Roman" w:hAnsi="Times New Roman" w:cs="Times New Roman"/>
          <w:sz w:val="24"/>
          <w:szCs w:val="24"/>
        </w:rPr>
        <w:t>孵育完成后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cs="Times New Roman"/>
          <w:sz w:val="24"/>
          <w:szCs w:val="24"/>
        </w:rPr>
        <w:t>300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g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离心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5 min，弃上清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；</w:t>
      </w:r>
      <w:r>
        <w:rPr>
          <w:rFonts w:hint="default" w:ascii="Times New Roman" w:hAnsi="Times New Roman" w:cs="Times New Roman"/>
          <w:sz w:val="24"/>
          <w:szCs w:val="24"/>
        </w:rPr>
        <w:t>PBS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洗2次，</w:t>
      </w:r>
      <w:r>
        <w:rPr>
          <w:rFonts w:hint="default" w:ascii="Times New Roman" w:hAnsi="Times New Roman" w:cs="Times New Roman"/>
          <w:sz w:val="24"/>
          <w:szCs w:val="24"/>
        </w:rPr>
        <w:t>300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g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离心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5 min，弃上清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。</w:t>
      </w:r>
    </w:p>
    <w:p>
      <w:pPr>
        <w:kinsoku/>
        <w:wordWrap/>
        <w:overflowPunct/>
        <w:topLinePunct w:val="0"/>
        <w:bidi w:val="0"/>
        <w:spacing w:line="360" w:lineRule="auto"/>
        <w:ind w:firstLine="48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7、</w:t>
      </w:r>
      <w:r>
        <w:rPr>
          <w:rFonts w:hint="default" w:ascii="Times New Roman" w:hAnsi="Times New Roman" w:cs="Times New Roman"/>
          <w:sz w:val="24"/>
          <w:szCs w:val="24"/>
        </w:rPr>
        <w:t>加入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适量</w:t>
      </w:r>
      <w:r>
        <w:rPr>
          <w:rFonts w:hint="default" w:ascii="Times New Roman" w:hAnsi="Times New Roman" w:cs="Times New Roman"/>
          <w:sz w:val="24"/>
          <w:szCs w:val="24"/>
        </w:rPr>
        <w:t>PBS重悬细胞沉淀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，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沉淀用于流式检测或涂片后荧光显微镜拍照。</w:t>
      </w:r>
    </w:p>
    <w:p>
      <w:pPr>
        <w:pStyle w:val="2"/>
        <w:keepNext/>
        <w:keepLines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pacing w:before="430" w:beforeLines="150" w:after="430" w:afterLines="150" w:line="360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sz w:val="36"/>
          <w:szCs w:val="36"/>
        </w:rPr>
      </w:pPr>
      <w:bookmarkStart w:id="30" w:name="_Toc6894"/>
      <w:r>
        <w:rPr>
          <w:rFonts w:hint="default" w:ascii="Times New Roman" w:hAnsi="Times New Roman" w:cs="Times New Roman"/>
          <w:sz w:val="36"/>
          <w:szCs w:val="36"/>
        </w:rPr>
        <w:t>实验结果</w:t>
      </w:r>
      <w:bookmarkEnd w:id="13"/>
      <w:bookmarkEnd w:id="14"/>
      <w:bookmarkEnd w:id="30"/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430" w:beforeLines="150" w:after="360" w:afterLines="150" w:line="360" w:lineRule="auto"/>
        <w:ind w:left="0" w:leftChars="0" w:firstLine="0" w:firstLineChars="0"/>
        <w:textAlignment w:val="auto"/>
        <w:outlineLvl w:val="1"/>
        <w:rPr>
          <w:rFonts w:hint="default" w:ascii="Times New Roman" w:hAnsi="Times New Roman" w:cs="Times New Roman"/>
          <w:b/>
          <w:bCs/>
          <w:sz w:val="24"/>
          <w:szCs w:val="24"/>
        </w:rPr>
      </w:pPr>
      <w:bookmarkStart w:id="31" w:name="_Toc27953"/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图片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结果分析举例</w:t>
      </w:r>
      <w:bookmarkEnd w:id="31"/>
    </w:p>
    <w:tbl>
      <w:tblPr>
        <w:tblStyle w:val="1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62"/>
        <w:gridCol w:w="6"/>
        <w:gridCol w:w="4756"/>
        <w:gridCol w:w="1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3690" w:hRule="atLeast"/>
        </w:trPr>
        <w:tc>
          <w:tcPr>
            <w:tcW w:w="4762" w:type="dxa"/>
          </w:tcPr>
          <w:p>
            <w:pPr>
              <w:kinsoku/>
              <w:wordWrap/>
              <w:overflowPunct/>
              <w:topLinePunct w:val="0"/>
              <w:bidi w:val="0"/>
              <w:snapToGrid w:val="0"/>
              <w:spacing w:before="480" w:beforeLines="200" w:after="360" w:afterLines="150" w:line="36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52650" cy="2314575"/>
                  <wp:effectExtent l="0" t="0" r="0" b="9525"/>
                  <wp:docPr id="1" name="图片 1" descr=" -空白对照组-Plot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 -空白对照组-Plot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  <w:gridSpan w:val="2"/>
          </w:tcPr>
          <w:p>
            <w:pPr>
              <w:kinsoku/>
              <w:wordWrap/>
              <w:overflowPunct/>
              <w:topLinePunct w:val="0"/>
              <w:bidi w:val="0"/>
              <w:snapToGrid w:val="0"/>
              <w:spacing w:before="480" w:beforeLines="200" w:after="360" w:afterLines="150" w:line="36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52650" cy="2314575"/>
                  <wp:effectExtent l="0" t="0" r="0" b="9525"/>
                  <wp:docPr id="2" name="图片 2" descr=" -空白对照组-Plo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 -空白对照组-Plot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283" w:hRule="atLeast"/>
        </w:trPr>
        <w:tc>
          <w:tcPr>
            <w:tcW w:w="47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图一</w:t>
            </w:r>
          </w:p>
        </w:tc>
        <w:tc>
          <w:tcPr>
            <w:tcW w:w="476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图二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5" w:hRule="atLeast"/>
        </w:trPr>
        <w:tc>
          <w:tcPr>
            <w:tcW w:w="4768" w:type="dxa"/>
            <w:gridSpan w:val="2"/>
          </w:tcPr>
          <w:p>
            <w:pPr>
              <w:kinsoku/>
              <w:wordWrap/>
              <w:overflowPunct/>
              <w:topLinePunct w:val="0"/>
              <w:bidi w:val="0"/>
              <w:snapToGrid w:val="0"/>
              <w:spacing w:before="480" w:beforeLines="200" w:after="360" w:afterLines="150" w:line="36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52650" cy="2314575"/>
                  <wp:effectExtent l="0" t="0" r="0" b="9525"/>
                  <wp:docPr id="4" name="图片 4" descr=" -空白对照组-Plot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 -空白对照组-Plot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  <w:gridSpan w:val="2"/>
          </w:tcPr>
          <w:p>
            <w:pPr>
              <w:kinsoku/>
              <w:wordWrap/>
              <w:overflowPunct/>
              <w:topLinePunct w:val="0"/>
              <w:bidi w:val="0"/>
              <w:snapToGrid w:val="0"/>
              <w:spacing w:before="480" w:beforeLines="200" w:after="360" w:afterLines="150" w:line="36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52650" cy="2314575"/>
                  <wp:effectExtent l="0" t="0" r="0" b="9525"/>
                  <wp:docPr id="3" name="图片 3" descr=" -空白对照组-Plot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 -空白对照组-Plot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476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图三</w:t>
            </w:r>
          </w:p>
        </w:tc>
        <w:tc>
          <w:tcPr>
            <w:tcW w:w="476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图四</w:t>
            </w:r>
          </w:p>
        </w:tc>
      </w:tr>
    </w:tbl>
    <w:p>
      <w:pPr>
        <w:kinsoku/>
        <w:wordWrap/>
        <w:overflowPunct/>
        <w:topLinePunct w:val="0"/>
        <w:bidi w:val="0"/>
        <w:spacing w:line="360" w:lineRule="auto"/>
        <w:rPr>
          <w:rFonts w:hint="default" w:ascii="Times New Roman" w:hAnsi="Times New Roman" w:cs="Times New Roman"/>
          <w:sz w:val="24"/>
          <w:szCs w:val="24"/>
        </w:rPr>
      </w:pPr>
    </w:p>
    <w:p>
      <w:pPr>
        <w:kinsoku/>
        <w:wordWrap/>
        <w:overflowPunct/>
        <w:topLinePunct w:val="0"/>
        <w:bidi w:val="0"/>
        <w:spacing w:line="360" w:lineRule="auto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t>图1：利用散点图（X:FSC-A;Y:SSC-A）画门圈出要研究细胞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；</w:t>
      </w:r>
    </w:p>
    <w:p>
      <w:pPr>
        <w:kinsoku/>
        <w:wordWrap/>
        <w:overflowPunct/>
        <w:topLinePunct w:val="0"/>
        <w:bidi w:val="0"/>
        <w:spacing w:line="360" w:lineRule="auto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t>图2：利用散点图（X:FSC-A;Y:FSC-H）排除粘连细胞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；</w:t>
      </w:r>
    </w:p>
    <w:p>
      <w:pPr>
        <w:kinsoku/>
        <w:wordWrap/>
        <w:overflowPunct/>
        <w:topLinePunct w:val="0"/>
        <w:bidi w:val="0"/>
        <w:spacing w:line="36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图3：利用散点图（X: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FITC</w:t>
      </w:r>
      <w:r>
        <w:rPr>
          <w:rFonts w:hint="default" w:ascii="Times New Roman" w:hAnsi="Times New Roman" w:cs="Times New Roman"/>
          <w:sz w:val="24"/>
          <w:szCs w:val="24"/>
        </w:rPr>
        <w:t>-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AM-</w:t>
      </w:r>
      <w:r>
        <w:rPr>
          <w:rFonts w:hint="default" w:ascii="Times New Roman" w:hAnsi="Times New Roman" w:cs="Times New Roman"/>
          <w:sz w:val="24"/>
          <w:szCs w:val="24"/>
        </w:rPr>
        <w:t>A;Y:SSC-A）选择细胞G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>识别Calcein AM阳性的细胞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；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其</w:t>
      </w:r>
      <w:r>
        <w:rPr>
          <w:rFonts w:hint="default" w:ascii="Times New Roman" w:hAnsi="Times New Roman" w:cs="Times New Roman"/>
          <w:sz w:val="24"/>
          <w:szCs w:val="24"/>
        </w:rPr>
        <w:t>细胞量为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85.13</w:t>
      </w:r>
      <w:r>
        <w:rPr>
          <w:rFonts w:hint="default" w:ascii="Times New Roman" w:hAnsi="Times New Roman" w:cs="Times New Roman"/>
          <w:sz w:val="24"/>
          <w:szCs w:val="24"/>
        </w:rPr>
        <w:t>%。</w:t>
      </w:r>
    </w:p>
    <w:p>
      <w:pPr>
        <w:kinsoku/>
        <w:wordWrap/>
        <w:overflowPunct/>
        <w:topLinePunct w:val="0"/>
        <w:bidi w:val="0"/>
        <w:spacing w:line="36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图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cs="Times New Roman"/>
          <w:sz w:val="24"/>
          <w:szCs w:val="24"/>
        </w:rPr>
        <w:t>：利用散点图（X: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PE-PI</w:t>
      </w:r>
      <w:r>
        <w:rPr>
          <w:rFonts w:hint="default" w:ascii="Times New Roman" w:hAnsi="Times New Roman" w:cs="Times New Roman"/>
          <w:sz w:val="24"/>
          <w:szCs w:val="24"/>
        </w:rPr>
        <w:t>-A;Y:SSC-A）选择细胞G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cs="Times New Roman"/>
          <w:sz w:val="24"/>
          <w:szCs w:val="24"/>
        </w:rPr>
        <w:t>识别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PI</w:t>
      </w:r>
      <w:r>
        <w:rPr>
          <w:rFonts w:hint="default" w:ascii="Times New Roman" w:hAnsi="Times New Roman" w:cs="Times New Roman"/>
          <w:sz w:val="24"/>
          <w:szCs w:val="24"/>
        </w:rPr>
        <w:t>阳性的细胞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；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其</w:t>
      </w:r>
      <w:r>
        <w:rPr>
          <w:rFonts w:hint="default" w:ascii="Times New Roman" w:hAnsi="Times New Roman" w:cs="Times New Roman"/>
          <w:sz w:val="24"/>
          <w:szCs w:val="24"/>
        </w:rPr>
        <w:t>细胞量为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0.28</w:t>
      </w:r>
      <w:r>
        <w:rPr>
          <w:rFonts w:hint="default" w:ascii="Times New Roman" w:hAnsi="Times New Roman" w:cs="Times New Roman"/>
          <w:sz w:val="24"/>
          <w:szCs w:val="24"/>
        </w:rPr>
        <w:t>%。</w:t>
      </w:r>
    </w:p>
    <w:p>
      <w:pPr>
        <w:kinsoku/>
        <w:wordWrap/>
        <w:overflowPunct/>
        <w:topLinePunct w:val="0"/>
        <w:bidi w:val="0"/>
        <w:spacing w:line="360" w:lineRule="auto"/>
        <w:rPr>
          <w:rFonts w:hint="default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430" w:beforeLines="150" w:after="360" w:afterLines="150" w:line="360" w:lineRule="auto"/>
        <w:ind w:left="0" w:leftChars="0" w:firstLine="0" w:firstLineChars="0"/>
        <w:textAlignment w:val="auto"/>
        <w:outlineLvl w:val="1"/>
        <w:rPr>
          <w:rFonts w:hint="default" w:ascii="Times New Roman" w:hAnsi="Times New Roman" w:cs="Times New Roman"/>
          <w:b/>
          <w:bCs/>
          <w:sz w:val="24"/>
          <w:szCs w:val="24"/>
        </w:rPr>
      </w:pPr>
      <w:bookmarkStart w:id="32" w:name="_Toc12056"/>
      <w:bookmarkStart w:id="33" w:name="_Toc11363"/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统计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结果分析举例</w:t>
      </w:r>
      <w:bookmarkEnd w:id="32"/>
      <w:bookmarkEnd w:id="33"/>
    </w:p>
    <w:tbl>
      <w:tblPr>
        <w:tblStyle w:val="16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5"/>
        <w:gridCol w:w="1905"/>
        <w:gridCol w:w="1905"/>
        <w:gridCol w:w="1905"/>
        <w:gridCol w:w="19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表1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999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1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试管名称</w:t>
            </w:r>
          </w:p>
        </w:tc>
        <w:tc>
          <w:tcPr>
            <w:tcW w:w="999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G1 Parent%</w:t>
            </w:r>
          </w:p>
        </w:tc>
        <w:tc>
          <w:tcPr>
            <w:tcW w:w="999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G2 Parent%</w:t>
            </w:r>
          </w:p>
        </w:tc>
        <w:tc>
          <w:tcPr>
            <w:tcW w:w="999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G3 Parent%</w:t>
            </w:r>
          </w:p>
        </w:tc>
        <w:tc>
          <w:tcPr>
            <w:tcW w:w="1000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G4 Parent%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9" w:type="pc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999" w:type="pc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999" w:type="pc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999" w:type="pc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1000" w:type="pc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9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</w:p>
        </w:tc>
      </w:tr>
    </w:tbl>
    <w:p>
      <w:pPr>
        <w:kinsoku/>
        <w:wordWrap/>
        <w:overflowPunct/>
        <w:topLinePunct w:val="0"/>
        <w:bidi w:val="0"/>
        <w:spacing w:line="360" w:lineRule="auto"/>
        <w:rPr>
          <w:rFonts w:hint="default" w:ascii="Times New Roman" w:hAnsi="Times New Roman" w:cs="Times New Roman"/>
          <w:sz w:val="24"/>
          <w:szCs w:val="24"/>
        </w:rPr>
      </w:pPr>
    </w:p>
    <w:p>
      <w:pPr>
        <w:kinsoku/>
        <w:wordWrap/>
        <w:overflowPunct/>
        <w:topLinePunct w:val="0"/>
        <w:bidi w:val="0"/>
        <w:spacing w:line="360" w:lineRule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表</w:t>
      </w:r>
      <w:r>
        <w:rPr>
          <w:rFonts w:hint="default" w:ascii="Times New Roman" w:hAnsi="Times New Roman" w:cs="Times New Roman"/>
          <w:sz w:val="24"/>
          <w:szCs w:val="24"/>
        </w:rPr>
        <w:t>1：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在样本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空白对照组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中，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G1</w:t>
      </w:r>
      <w:r>
        <w:rPr>
          <w:rFonts w:hint="default" w:ascii="Times New Roman" w:hAnsi="Times New Roman" w:cs="Times New Roman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Parent%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为所研究的目的细胞，其细胞量为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t>95.48%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；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G</w:t>
      </w:r>
      <w:r>
        <w:rPr>
          <w:rFonts w:hint="default" w:ascii="Times New Roman" w:hAnsi="Times New Roman" w:cs="Times New Roman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 xml:space="preserve"> Parent%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为排除</w:t>
      </w:r>
      <w:r>
        <w:rPr>
          <w:rFonts w:hint="default" w:ascii="Times New Roman" w:hAnsi="Times New Roman" w:cs="Times New Roman"/>
          <w:sz w:val="24"/>
          <w:szCs w:val="24"/>
        </w:rPr>
        <w:t>粘连细胞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的目的细胞，其细胞量为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t>91.31%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；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G</w:t>
      </w:r>
      <w:r>
        <w:rPr>
          <w:rFonts w:hint="default" w:ascii="Times New Roman" w:hAnsi="Times New Roman" w:cs="Times New Roman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3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 xml:space="preserve"> Parent%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为</w:t>
      </w:r>
      <w:r>
        <w:rPr>
          <w:rFonts w:hint="default" w:ascii="Times New Roman" w:hAnsi="Times New Roman" w:cs="Times New Roman"/>
          <w:sz w:val="24"/>
          <w:szCs w:val="24"/>
        </w:rPr>
        <w:t>Calcein AM阳性的细胞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群，为活细胞群，其细胞量为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t>85.13%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；</w:t>
      </w:r>
      <w:r>
        <w:rPr>
          <w:rFonts w:hint="default" w:ascii="Times New Roman" w:hAnsi="Times New Roman" w:cs="Times New Roman"/>
          <w:sz w:val="24"/>
          <w:szCs w:val="24"/>
        </w:rPr>
        <w:t>G4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Parent%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为PI</w:t>
      </w:r>
      <w:r>
        <w:rPr>
          <w:rFonts w:hint="default" w:ascii="Times New Roman" w:hAnsi="Times New Roman" w:cs="Times New Roman"/>
          <w:sz w:val="24"/>
          <w:szCs w:val="24"/>
        </w:rPr>
        <w:t>阳性的细胞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群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为死细胞群，其细胞量为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t>0.28%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。</w:t>
      </w:r>
    </w:p>
    <w:p>
      <w:pPr>
        <w:tabs>
          <w:tab w:val="left" w:pos="397"/>
        </w:tabs>
        <w:kinsoku/>
        <w:wordWrap/>
        <w:overflowPunct/>
        <w:topLinePunct w:val="0"/>
        <w:bidi w:val="0"/>
        <w:spacing w:line="360" w:lineRule="auto"/>
        <w:jc w:val="left"/>
        <w:rPr>
          <w:rFonts w:hint="default" w:ascii="Times New Roman" w:hAnsi="Times New Roman" w:cs="Times New Roman"/>
          <w:sz w:val="32"/>
          <w:szCs w:val="32"/>
        </w:rPr>
      </w:pPr>
    </w:p>
    <w:sectPr>
      <w:headerReference r:id="rId5" w:type="first"/>
      <w:headerReference r:id="rId3" w:type="default"/>
      <w:footerReference r:id="rId6" w:type="default"/>
      <w:headerReference r:id="rId4" w:type="even"/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rFonts w:ascii="Times New Roman" w:hAnsi="Times New Roman"/>
      </w:rPr>
    </w:pPr>
    <w:r>
      <w:rPr>
        <w:rFonts w:ascii="Times New Roman" w:hAnsi="Times New Roman" w:eastAsia="微软雅黑"/>
        <w:bCs/>
        <w:color w:val="A6A6A6" w:themeColor="background1" w:themeShade="A6"/>
        <w:sz w:val="15"/>
        <w:szCs w:val="15"/>
      </w:rPr>
      <w:t xml:space="preserve">电话：177-2982-5736               </w:t>
    </w:r>
    <w:r>
      <w:rPr>
        <w:rFonts w:hint="eastAsia" w:ascii="Times New Roman" w:hAnsi="Times New Roman" w:eastAsia="微软雅黑"/>
        <w:bCs/>
        <w:color w:val="A6A6A6" w:themeColor="background1" w:themeShade="A6"/>
        <w:sz w:val="15"/>
        <w:szCs w:val="15"/>
      </w:rPr>
      <w:t xml:space="preserve">                </w:t>
    </w:r>
    <w:r>
      <w:rPr>
        <w:rFonts w:ascii="Times New Roman" w:hAnsi="Times New Roman" w:eastAsia="微软雅黑"/>
        <w:bCs/>
        <w:color w:val="A6A6A6" w:themeColor="background1" w:themeShade="A6"/>
        <w:sz w:val="15"/>
        <w:szCs w:val="15"/>
      </w:rPr>
      <w:t xml:space="preserve">座机：028- 65735060                    </w:t>
    </w:r>
    <w:r>
      <w:rPr>
        <w:rFonts w:hint="eastAsia" w:ascii="Times New Roman" w:hAnsi="Times New Roman" w:eastAsia="微软雅黑"/>
        <w:bCs/>
        <w:color w:val="A6A6A6" w:themeColor="background1" w:themeShade="A6"/>
        <w:sz w:val="15"/>
        <w:szCs w:val="15"/>
      </w:rPr>
      <w:t xml:space="preserve">  </w:t>
    </w:r>
    <w:r>
      <w:rPr>
        <w:rFonts w:ascii="Times New Roman" w:hAnsi="Times New Roman" w:eastAsia="微软雅黑"/>
        <w:bCs/>
        <w:color w:val="A6A6A6" w:themeColor="background1" w:themeShade="A6"/>
        <w:sz w:val="15"/>
        <w:szCs w:val="15"/>
      </w:rPr>
      <w:t xml:space="preserve">  公司网址： http://www.cdacsw.cn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  <w:jc w:val="both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3998595</wp:posOffset>
              </wp:positionH>
              <wp:positionV relativeFrom="paragraph">
                <wp:posOffset>40005</wp:posOffset>
              </wp:positionV>
              <wp:extent cx="1866900" cy="434975"/>
              <wp:effectExtent l="0" t="0" r="0" b="3175"/>
              <wp:wrapNone/>
              <wp:docPr id="936797354" name="文本框 9367973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6900" cy="4349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rFonts w:ascii="宋体" w:hAnsi="宋体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宋体" w:hAnsi="宋体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4.85pt;margin-top:3.15pt;height:34.25pt;width:147pt;z-index:251661312;mso-width-relative:page;mso-height-relative:page;" fillcolor="#FFFFFF [3201]" filled="t" stroked="f" coordsize="21600,21600" o:gfxdata="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FiruUnUAAAACAEA&#10;AA8AAAAAAAAAAQAgAAAAIgAAAGRycy9kb3ducmV2LnhtbFBLAQIUABQAAAAIAIdO4kDUIP1lVwIA&#10;AJ8EAAAOAAAAAAAAAAEAIAAAACMBAABkcnMvZTJvRG9jLnhtbFBLBQYAAAAABgAGAFkBAADsBQAA&#10;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rFonts w:ascii="宋体" w:hAnsi="宋体"/>
                        <w:sz w:val="16"/>
                        <w:szCs w:val="16"/>
                      </w:rPr>
                    </w:pPr>
                    <w:r>
                      <w:rPr>
                        <w:rFonts w:hint="eastAsia" w:ascii="宋体" w:hAnsi="宋体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1898650" cy="335915"/>
          <wp:effectExtent l="0" t="0" r="6350" b="6985"/>
          <wp:docPr id="1463239533" name="图片 1463239533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3239533" name="图片 1463239533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58484" cy="3466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10"/>
      <w:pBdr>
        <w:bottom w:val="none" w:color="auto" w:sz="0" w:space="1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top w:val="none" w:color="auto" w:sz="0" w:space="0"/>
        <w:left w:val="none" w:color="auto" w:sz="0" w:space="0"/>
        <w:right w:val="none" w:color="auto" w:sz="0" w:space="0"/>
        <w:between w:val="none" w:color="auto" w:sz="0" w:space="0"/>
      </w:pBdr>
    </w:pPr>
    <w:r>
      <w:drawing>
        <wp:anchor distT="0" distB="0" distL="114300" distR="114300" simplePos="0" relativeHeight="25166336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814320" cy="1114425"/>
          <wp:effectExtent l="0" t="0" r="5080" b="8890"/>
          <wp:wrapNone/>
          <wp:docPr id="5566637" name="WordPictureWatermark3594860" descr="Siweg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66637" name="WordPictureWatermark3594860" descr="Siwega2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4320" cy="11144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  <w:jc w:val="both"/>
    </w:pPr>
    <w:r>
      <w:rPr>
        <w:rFonts w:hint="eastAsia"/>
      </w:rPr>
      <w:drawing>
        <wp:inline distT="0" distB="0" distL="114300" distR="114300">
          <wp:extent cx="1514475" cy="439420"/>
          <wp:effectExtent l="0" t="0" r="0" b="0"/>
          <wp:docPr id="1926914552" name="图片 1926914552" descr="公司条状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6914552" name="图片 1926914552" descr="公司条状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4475" cy="439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CF3825"/>
    <w:multiLevelType w:val="singleLevel"/>
    <w:tmpl w:val="B1CF3825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01773D02"/>
    <w:multiLevelType w:val="singleLevel"/>
    <w:tmpl w:val="01773D02"/>
    <w:lvl w:ilvl="0" w:tentative="0">
      <w:start w:val="3"/>
      <w:numFmt w:val="decimal"/>
      <w:suff w:val="nothing"/>
      <w:lvlText w:val="%1、"/>
      <w:lvlJc w:val="left"/>
    </w:lvl>
  </w:abstractNum>
  <w:abstractNum w:abstractNumId="2">
    <w:nsid w:val="0D02B6E5"/>
    <w:multiLevelType w:val="singleLevel"/>
    <w:tmpl w:val="0D02B6E5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3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4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ECC9BA1"/>
    <w:multiLevelType w:val="singleLevel"/>
    <w:tmpl w:val="6ECC9BA1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3NjQxYmZmN2ZkODIxYWNiNTEzMzQyMTZmNzQ1MmMifQ=="/>
  </w:docVars>
  <w:rsids>
    <w:rsidRoot w:val="00FF08C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0545"/>
    <w:rsid w:val="00162B66"/>
    <w:rsid w:val="00170354"/>
    <w:rsid w:val="00170D8A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E69"/>
    <w:rsid w:val="001E0BD3"/>
    <w:rsid w:val="001E1C06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20857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3476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0DCB"/>
    <w:rsid w:val="005F570E"/>
    <w:rsid w:val="005F66BD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63C4"/>
    <w:rsid w:val="006C1EB0"/>
    <w:rsid w:val="006D0F2F"/>
    <w:rsid w:val="006D64F0"/>
    <w:rsid w:val="006D673D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62A4A"/>
    <w:rsid w:val="00763999"/>
    <w:rsid w:val="007666D5"/>
    <w:rsid w:val="00767AD5"/>
    <w:rsid w:val="007718C1"/>
    <w:rsid w:val="007748F9"/>
    <w:rsid w:val="00777095"/>
    <w:rsid w:val="00787EEC"/>
    <w:rsid w:val="007901C5"/>
    <w:rsid w:val="00791A7A"/>
    <w:rsid w:val="007A17D4"/>
    <w:rsid w:val="007A1C8D"/>
    <w:rsid w:val="007A2D45"/>
    <w:rsid w:val="007A5976"/>
    <w:rsid w:val="007A64C5"/>
    <w:rsid w:val="007B1F12"/>
    <w:rsid w:val="007B4350"/>
    <w:rsid w:val="007B6D73"/>
    <w:rsid w:val="007B748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314FB"/>
    <w:rsid w:val="008332AA"/>
    <w:rsid w:val="008370DC"/>
    <w:rsid w:val="008400C8"/>
    <w:rsid w:val="00840CDA"/>
    <w:rsid w:val="00844914"/>
    <w:rsid w:val="00845CD8"/>
    <w:rsid w:val="008472B9"/>
    <w:rsid w:val="008531B2"/>
    <w:rsid w:val="00853897"/>
    <w:rsid w:val="00856D10"/>
    <w:rsid w:val="0087400B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4890"/>
    <w:rsid w:val="008D031F"/>
    <w:rsid w:val="008D334F"/>
    <w:rsid w:val="008D6187"/>
    <w:rsid w:val="008D7E9A"/>
    <w:rsid w:val="008E3F78"/>
    <w:rsid w:val="008E5057"/>
    <w:rsid w:val="008F39A6"/>
    <w:rsid w:val="00900EDB"/>
    <w:rsid w:val="00903F79"/>
    <w:rsid w:val="00905903"/>
    <w:rsid w:val="00917E6D"/>
    <w:rsid w:val="00920FA4"/>
    <w:rsid w:val="00921C94"/>
    <w:rsid w:val="0092268E"/>
    <w:rsid w:val="009264D1"/>
    <w:rsid w:val="009309B5"/>
    <w:rsid w:val="0093110C"/>
    <w:rsid w:val="00935D12"/>
    <w:rsid w:val="009407D5"/>
    <w:rsid w:val="00952248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6E52"/>
    <w:rsid w:val="009A6983"/>
    <w:rsid w:val="009A7081"/>
    <w:rsid w:val="009B0562"/>
    <w:rsid w:val="009B3743"/>
    <w:rsid w:val="009C22BF"/>
    <w:rsid w:val="009D028E"/>
    <w:rsid w:val="009D302D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6E63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27767"/>
    <w:rsid w:val="00A311E0"/>
    <w:rsid w:val="00A3301F"/>
    <w:rsid w:val="00A33BEB"/>
    <w:rsid w:val="00A40BE0"/>
    <w:rsid w:val="00A52147"/>
    <w:rsid w:val="00A564B6"/>
    <w:rsid w:val="00A652FA"/>
    <w:rsid w:val="00A66DDC"/>
    <w:rsid w:val="00A67B3C"/>
    <w:rsid w:val="00A7278E"/>
    <w:rsid w:val="00A74917"/>
    <w:rsid w:val="00A76719"/>
    <w:rsid w:val="00A76FE9"/>
    <w:rsid w:val="00A8393C"/>
    <w:rsid w:val="00A85BFC"/>
    <w:rsid w:val="00A878DC"/>
    <w:rsid w:val="00A965FB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0D0F"/>
    <w:rsid w:val="00B32432"/>
    <w:rsid w:val="00B35F6C"/>
    <w:rsid w:val="00B47C67"/>
    <w:rsid w:val="00B53C96"/>
    <w:rsid w:val="00B564C6"/>
    <w:rsid w:val="00B65315"/>
    <w:rsid w:val="00B72C31"/>
    <w:rsid w:val="00B76395"/>
    <w:rsid w:val="00B82B6C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4714B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34C2"/>
    <w:rsid w:val="00C84631"/>
    <w:rsid w:val="00C877F2"/>
    <w:rsid w:val="00C931AA"/>
    <w:rsid w:val="00CA2B77"/>
    <w:rsid w:val="00CA7C9A"/>
    <w:rsid w:val="00CB1733"/>
    <w:rsid w:val="00CB3AF0"/>
    <w:rsid w:val="00CC059E"/>
    <w:rsid w:val="00CC235A"/>
    <w:rsid w:val="00CC6CE9"/>
    <w:rsid w:val="00CC7CF7"/>
    <w:rsid w:val="00CD1229"/>
    <w:rsid w:val="00CD1A1E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26057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2A61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E061EE"/>
    <w:rsid w:val="00E11813"/>
    <w:rsid w:val="00E20139"/>
    <w:rsid w:val="00E21F42"/>
    <w:rsid w:val="00E220ED"/>
    <w:rsid w:val="00E23549"/>
    <w:rsid w:val="00E27EBD"/>
    <w:rsid w:val="00E31DCC"/>
    <w:rsid w:val="00E4119A"/>
    <w:rsid w:val="00E4482F"/>
    <w:rsid w:val="00E50F0C"/>
    <w:rsid w:val="00E5589C"/>
    <w:rsid w:val="00E60D9C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BA"/>
    <w:rsid w:val="00F26C4B"/>
    <w:rsid w:val="00F26CD2"/>
    <w:rsid w:val="00F315C4"/>
    <w:rsid w:val="00F31F26"/>
    <w:rsid w:val="00F3664E"/>
    <w:rsid w:val="00F37051"/>
    <w:rsid w:val="00F420D1"/>
    <w:rsid w:val="00F45087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5593"/>
    <w:rsid w:val="00FC3F57"/>
    <w:rsid w:val="00FD0A79"/>
    <w:rsid w:val="00FD5348"/>
    <w:rsid w:val="00FD668A"/>
    <w:rsid w:val="00FE0E6D"/>
    <w:rsid w:val="00FE588E"/>
    <w:rsid w:val="00FE7849"/>
    <w:rsid w:val="00FE7BE8"/>
    <w:rsid w:val="00FF064B"/>
    <w:rsid w:val="00FF08C7"/>
    <w:rsid w:val="00FF1554"/>
    <w:rsid w:val="00FF332B"/>
    <w:rsid w:val="013C246A"/>
    <w:rsid w:val="01897DF1"/>
    <w:rsid w:val="018C7854"/>
    <w:rsid w:val="027A77C1"/>
    <w:rsid w:val="028F491F"/>
    <w:rsid w:val="03D2448F"/>
    <w:rsid w:val="03F51722"/>
    <w:rsid w:val="04071455"/>
    <w:rsid w:val="043F474B"/>
    <w:rsid w:val="0450700B"/>
    <w:rsid w:val="04517A58"/>
    <w:rsid w:val="0490311A"/>
    <w:rsid w:val="04BE23A5"/>
    <w:rsid w:val="04BF3B56"/>
    <w:rsid w:val="05796E8A"/>
    <w:rsid w:val="058802DD"/>
    <w:rsid w:val="05FD3B43"/>
    <w:rsid w:val="06484E98"/>
    <w:rsid w:val="06556E39"/>
    <w:rsid w:val="068136AB"/>
    <w:rsid w:val="06E83375"/>
    <w:rsid w:val="06EF6A97"/>
    <w:rsid w:val="07B371BD"/>
    <w:rsid w:val="07DC617E"/>
    <w:rsid w:val="07E14125"/>
    <w:rsid w:val="07FF4EC7"/>
    <w:rsid w:val="082F0F7A"/>
    <w:rsid w:val="085B3E0D"/>
    <w:rsid w:val="085C1F3E"/>
    <w:rsid w:val="08CA17C6"/>
    <w:rsid w:val="08EA6A22"/>
    <w:rsid w:val="09154EB8"/>
    <w:rsid w:val="09645BFD"/>
    <w:rsid w:val="0A232649"/>
    <w:rsid w:val="0A5D72DC"/>
    <w:rsid w:val="0A930DC2"/>
    <w:rsid w:val="0AB945A1"/>
    <w:rsid w:val="0B3420AB"/>
    <w:rsid w:val="0B5C3214"/>
    <w:rsid w:val="0B8C31F9"/>
    <w:rsid w:val="0BE34556"/>
    <w:rsid w:val="0BF202F5"/>
    <w:rsid w:val="0D1F336B"/>
    <w:rsid w:val="0D70006B"/>
    <w:rsid w:val="0DF97778"/>
    <w:rsid w:val="0E8078FE"/>
    <w:rsid w:val="0E9D6BBB"/>
    <w:rsid w:val="0ECE0394"/>
    <w:rsid w:val="0EFA5E48"/>
    <w:rsid w:val="0F326BA0"/>
    <w:rsid w:val="0F4052B8"/>
    <w:rsid w:val="0F841987"/>
    <w:rsid w:val="10A02A15"/>
    <w:rsid w:val="1312127D"/>
    <w:rsid w:val="13136145"/>
    <w:rsid w:val="132A0CBC"/>
    <w:rsid w:val="135F33F5"/>
    <w:rsid w:val="14027288"/>
    <w:rsid w:val="140C23A5"/>
    <w:rsid w:val="14D2562C"/>
    <w:rsid w:val="14FA59C9"/>
    <w:rsid w:val="1649519F"/>
    <w:rsid w:val="16913178"/>
    <w:rsid w:val="16FF6615"/>
    <w:rsid w:val="17002DF8"/>
    <w:rsid w:val="17147D00"/>
    <w:rsid w:val="174C337B"/>
    <w:rsid w:val="17557CB9"/>
    <w:rsid w:val="180E64B6"/>
    <w:rsid w:val="187F524A"/>
    <w:rsid w:val="18AB0A17"/>
    <w:rsid w:val="18DC0363"/>
    <w:rsid w:val="192E4AE6"/>
    <w:rsid w:val="19AB6E72"/>
    <w:rsid w:val="19AF5C0C"/>
    <w:rsid w:val="1A2521DD"/>
    <w:rsid w:val="1A7306A9"/>
    <w:rsid w:val="1AB145E1"/>
    <w:rsid w:val="1AE90104"/>
    <w:rsid w:val="1B0A5D65"/>
    <w:rsid w:val="1B3F285C"/>
    <w:rsid w:val="1C1856EB"/>
    <w:rsid w:val="1CB440FB"/>
    <w:rsid w:val="1D1722B1"/>
    <w:rsid w:val="1D2D43D9"/>
    <w:rsid w:val="1D781EA3"/>
    <w:rsid w:val="1E630C0C"/>
    <w:rsid w:val="1E8539B9"/>
    <w:rsid w:val="1FBE71E9"/>
    <w:rsid w:val="20282FFF"/>
    <w:rsid w:val="209C713B"/>
    <w:rsid w:val="21855429"/>
    <w:rsid w:val="21E65B6A"/>
    <w:rsid w:val="22031056"/>
    <w:rsid w:val="22E5658B"/>
    <w:rsid w:val="239E442A"/>
    <w:rsid w:val="23A81EB5"/>
    <w:rsid w:val="23B56380"/>
    <w:rsid w:val="247B4B8D"/>
    <w:rsid w:val="249124AC"/>
    <w:rsid w:val="24C55C43"/>
    <w:rsid w:val="24EA38CC"/>
    <w:rsid w:val="25235B93"/>
    <w:rsid w:val="25496246"/>
    <w:rsid w:val="256300DD"/>
    <w:rsid w:val="25E82023"/>
    <w:rsid w:val="25F26CE2"/>
    <w:rsid w:val="263F27D1"/>
    <w:rsid w:val="267C4EC5"/>
    <w:rsid w:val="27AC402D"/>
    <w:rsid w:val="27B02D51"/>
    <w:rsid w:val="28117266"/>
    <w:rsid w:val="28C747BD"/>
    <w:rsid w:val="28CD5F1A"/>
    <w:rsid w:val="2961132D"/>
    <w:rsid w:val="29876764"/>
    <w:rsid w:val="29C63095"/>
    <w:rsid w:val="29E54C96"/>
    <w:rsid w:val="2A1D6C72"/>
    <w:rsid w:val="2A6E72C4"/>
    <w:rsid w:val="2AF21C5F"/>
    <w:rsid w:val="2AFD6FC6"/>
    <w:rsid w:val="2B6A3B8F"/>
    <w:rsid w:val="2C275941"/>
    <w:rsid w:val="2D2307FE"/>
    <w:rsid w:val="2D3F6270"/>
    <w:rsid w:val="2DC91D7E"/>
    <w:rsid w:val="2E106463"/>
    <w:rsid w:val="2E165C6D"/>
    <w:rsid w:val="2F024A8F"/>
    <w:rsid w:val="2F2B080B"/>
    <w:rsid w:val="2F453924"/>
    <w:rsid w:val="2F57341F"/>
    <w:rsid w:val="301E705B"/>
    <w:rsid w:val="306A53C9"/>
    <w:rsid w:val="311A06DB"/>
    <w:rsid w:val="317D5B4E"/>
    <w:rsid w:val="317F3D09"/>
    <w:rsid w:val="31A524C4"/>
    <w:rsid w:val="328A65D7"/>
    <w:rsid w:val="331C5AD4"/>
    <w:rsid w:val="332E2F29"/>
    <w:rsid w:val="340A7DC1"/>
    <w:rsid w:val="34503692"/>
    <w:rsid w:val="34DD1293"/>
    <w:rsid w:val="367A7D64"/>
    <w:rsid w:val="37797999"/>
    <w:rsid w:val="37B72FAF"/>
    <w:rsid w:val="37DB3111"/>
    <w:rsid w:val="37E661D8"/>
    <w:rsid w:val="38A02458"/>
    <w:rsid w:val="39504729"/>
    <w:rsid w:val="395F436A"/>
    <w:rsid w:val="39637B15"/>
    <w:rsid w:val="3A9248CD"/>
    <w:rsid w:val="3BA879C6"/>
    <w:rsid w:val="3BB84F93"/>
    <w:rsid w:val="3C145EE2"/>
    <w:rsid w:val="3C536E97"/>
    <w:rsid w:val="3D54672D"/>
    <w:rsid w:val="3D695E1F"/>
    <w:rsid w:val="3DE53B38"/>
    <w:rsid w:val="3E23681F"/>
    <w:rsid w:val="3ED701DB"/>
    <w:rsid w:val="3F3D5750"/>
    <w:rsid w:val="40257BBA"/>
    <w:rsid w:val="40D2629B"/>
    <w:rsid w:val="414A4154"/>
    <w:rsid w:val="41EA6017"/>
    <w:rsid w:val="42107BEE"/>
    <w:rsid w:val="42620242"/>
    <w:rsid w:val="426C1B24"/>
    <w:rsid w:val="42A51C96"/>
    <w:rsid w:val="444B012A"/>
    <w:rsid w:val="456A3B18"/>
    <w:rsid w:val="4597370E"/>
    <w:rsid w:val="4665558C"/>
    <w:rsid w:val="47804A75"/>
    <w:rsid w:val="479E4324"/>
    <w:rsid w:val="47C26435"/>
    <w:rsid w:val="482C4A17"/>
    <w:rsid w:val="48D92DDC"/>
    <w:rsid w:val="49735CE2"/>
    <w:rsid w:val="49D2118A"/>
    <w:rsid w:val="4A173C81"/>
    <w:rsid w:val="4B12476D"/>
    <w:rsid w:val="4B154B9B"/>
    <w:rsid w:val="4B7655EE"/>
    <w:rsid w:val="4BC934D9"/>
    <w:rsid w:val="4BE13907"/>
    <w:rsid w:val="4C0814C4"/>
    <w:rsid w:val="4C4719BC"/>
    <w:rsid w:val="4C9F0FD7"/>
    <w:rsid w:val="4D7549E6"/>
    <w:rsid w:val="4DB75C10"/>
    <w:rsid w:val="4E3B0C05"/>
    <w:rsid w:val="4EF83B47"/>
    <w:rsid w:val="4F8847C5"/>
    <w:rsid w:val="4FAF27B1"/>
    <w:rsid w:val="4FD82DAE"/>
    <w:rsid w:val="4FFA6B7D"/>
    <w:rsid w:val="501D3E00"/>
    <w:rsid w:val="503F0BFC"/>
    <w:rsid w:val="507C7A1B"/>
    <w:rsid w:val="51002139"/>
    <w:rsid w:val="51E056AD"/>
    <w:rsid w:val="531242BB"/>
    <w:rsid w:val="53342971"/>
    <w:rsid w:val="540463E4"/>
    <w:rsid w:val="54996B2C"/>
    <w:rsid w:val="54AC42D6"/>
    <w:rsid w:val="54FB217D"/>
    <w:rsid w:val="551B6739"/>
    <w:rsid w:val="551E569C"/>
    <w:rsid w:val="55314FB7"/>
    <w:rsid w:val="557F01C6"/>
    <w:rsid w:val="56AC2486"/>
    <w:rsid w:val="579655A5"/>
    <w:rsid w:val="57A5105B"/>
    <w:rsid w:val="586E37F0"/>
    <w:rsid w:val="587A136B"/>
    <w:rsid w:val="590B30A7"/>
    <w:rsid w:val="593A45E1"/>
    <w:rsid w:val="597E6578"/>
    <w:rsid w:val="59B91A1F"/>
    <w:rsid w:val="59D40607"/>
    <w:rsid w:val="5B3641CD"/>
    <w:rsid w:val="5B740BC8"/>
    <w:rsid w:val="5B947BDB"/>
    <w:rsid w:val="5C2268F0"/>
    <w:rsid w:val="5C99305C"/>
    <w:rsid w:val="5D04101B"/>
    <w:rsid w:val="5D2C46C6"/>
    <w:rsid w:val="5D5E6C15"/>
    <w:rsid w:val="5D9B1847"/>
    <w:rsid w:val="5DD60239"/>
    <w:rsid w:val="5EA96E87"/>
    <w:rsid w:val="5F096FA4"/>
    <w:rsid w:val="5F5F7D41"/>
    <w:rsid w:val="5F942D12"/>
    <w:rsid w:val="60DD4922"/>
    <w:rsid w:val="60E750BD"/>
    <w:rsid w:val="61A64BFE"/>
    <w:rsid w:val="628D2EDB"/>
    <w:rsid w:val="62C91468"/>
    <w:rsid w:val="62F537D8"/>
    <w:rsid w:val="6370733A"/>
    <w:rsid w:val="64524F4A"/>
    <w:rsid w:val="64AC6391"/>
    <w:rsid w:val="64E23CC4"/>
    <w:rsid w:val="65CE2048"/>
    <w:rsid w:val="66AD290B"/>
    <w:rsid w:val="66E5229D"/>
    <w:rsid w:val="67592E6B"/>
    <w:rsid w:val="675D60DF"/>
    <w:rsid w:val="67FC6E05"/>
    <w:rsid w:val="682D5AB2"/>
    <w:rsid w:val="68CF4DBB"/>
    <w:rsid w:val="69A022B3"/>
    <w:rsid w:val="69BB5AF7"/>
    <w:rsid w:val="69D3282D"/>
    <w:rsid w:val="6A670E11"/>
    <w:rsid w:val="6A7A6FA8"/>
    <w:rsid w:val="6A9D0760"/>
    <w:rsid w:val="6AAF5D15"/>
    <w:rsid w:val="6B0D5BA0"/>
    <w:rsid w:val="6B5478DD"/>
    <w:rsid w:val="6BBC0310"/>
    <w:rsid w:val="6BEE7AA2"/>
    <w:rsid w:val="6C157252"/>
    <w:rsid w:val="6C16401E"/>
    <w:rsid w:val="6C40624E"/>
    <w:rsid w:val="6C4A7000"/>
    <w:rsid w:val="6C876B11"/>
    <w:rsid w:val="6D2E1D0B"/>
    <w:rsid w:val="6DAE0693"/>
    <w:rsid w:val="6DB427D1"/>
    <w:rsid w:val="6EB56801"/>
    <w:rsid w:val="6F56024D"/>
    <w:rsid w:val="6F954DC1"/>
    <w:rsid w:val="704A6721"/>
    <w:rsid w:val="7057541D"/>
    <w:rsid w:val="70714708"/>
    <w:rsid w:val="707B17AF"/>
    <w:rsid w:val="70812E3F"/>
    <w:rsid w:val="70AE6992"/>
    <w:rsid w:val="71037512"/>
    <w:rsid w:val="710D5957"/>
    <w:rsid w:val="71345513"/>
    <w:rsid w:val="72231CD3"/>
    <w:rsid w:val="728F558F"/>
    <w:rsid w:val="72916C3D"/>
    <w:rsid w:val="72B1469D"/>
    <w:rsid w:val="72FD2F7E"/>
    <w:rsid w:val="73306683"/>
    <w:rsid w:val="738B162F"/>
    <w:rsid w:val="73A50172"/>
    <w:rsid w:val="73BD3074"/>
    <w:rsid w:val="73DC7748"/>
    <w:rsid w:val="74526350"/>
    <w:rsid w:val="74563F3D"/>
    <w:rsid w:val="74566E91"/>
    <w:rsid w:val="746960C4"/>
    <w:rsid w:val="74C63A27"/>
    <w:rsid w:val="74D23626"/>
    <w:rsid w:val="75325667"/>
    <w:rsid w:val="75FE6CDF"/>
    <w:rsid w:val="761D1BA4"/>
    <w:rsid w:val="76685F07"/>
    <w:rsid w:val="76996EEE"/>
    <w:rsid w:val="775841CD"/>
    <w:rsid w:val="7814095E"/>
    <w:rsid w:val="794013BD"/>
    <w:rsid w:val="79740900"/>
    <w:rsid w:val="7A674B56"/>
    <w:rsid w:val="7A923E9A"/>
    <w:rsid w:val="7AC41D91"/>
    <w:rsid w:val="7ACC449A"/>
    <w:rsid w:val="7BA53563"/>
    <w:rsid w:val="7BB824AC"/>
    <w:rsid w:val="7C4160FC"/>
    <w:rsid w:val="7C7F66A3"/>
    <w:rsid w:val="7D1F067E"/>
    <w:rsid w:val="7D3F6BA5"/>
    <w:rsid w:val="7D7D1946"/>
    <w:rsid w:val="7DA57351"/>
    <w:rsid w:val="7E74703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9" w:semiHidden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0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autoRedefine/>
    <w:unhideWhenUsed/>
    <w:qFormat/>
    <w:uiPriority w:val="9"/>
    <w:pPr>
      <w:keepNext/>
      <w:keepLines/>
      <w:widowControl/>
      <w:spacing w:line="360" w:lineRule="auto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3"/>
    <w:autoRedefine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link w:val="24"/>
    <w:autoRedefine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7">
    <w:name w:val="toc 3"/>
    <w:basedOn w:val="1"/>
    <w:next w:val="1"/>
    <w:autoRedefine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8">
    <w:name w:val="Balloon Text"/>
    <w:basedOn w:val="1"/>
    <w:link w:val="26"/>
    <w:autoRedefine/>
    <w:qFormat/>
    <w:uiPriority w:val="99"/>
    <w:rPr>
      <w:rFonts w:ascii="Times New Roman" w:hAnsi="Times New Roman"/>
      <w:kern w:val="0"/>
      <w:sz w:val="18"/>
      <w:szCs w:val="20"/>
    </w:rPr>
  </w:style>
  <w:style w:type="paragraph" w:styleId="9">
    <w:name w:val="footer"/>
    <w:basedOn w:val="1"/>
    <w:link w:val="27"/>
    <w:autoRedefine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10">
    <w:name w:val="header"/>
    <w:basedOn w:val="1"/>
    <w:link w:val="28"/>
    <w:autoRedefine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1">
    <w:name w:val="toc 1"/>
    <w:basedOn w:val="1"/>
    <w:next w:val="1"/>
    <w:autoRedefine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2">
    <w:name w:val="toc 2"/>
    <w:basedOn w:val="1"/>
    <w:next w:val="1"/>
    <w:autoRedefine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autoRedefine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6"/>
    <w:link w:val="25"/>
    <w:autoRedefine/>
    <w:qFormat/>
    <w:uiPriority w:val="99"/>
    <w:pPr>
      <w:spacing w:after="0"/>
      <w:ind w:firstLine="498"/>
    </w:pPr>
  </w:style>
  <w:style w:type="table" w:styleId="16">
    <w:name w:val="Table Grid"/>
    <w:basedOn w:val="15"/>
    <w:autoRedefine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autoRedefine/>
    <w:qFormat/>
    <w:uiPriority w:val="0"/>
    <w:rPr>
      <w:b/>
      <w:bCs/>
    </w:rPr>
  </w:style>
  <w:style w:type="character" w:styleId="19">
    <w:name w:val="Emphasis"/>
    <w:autoRedefine/>
    <w:qFormat/>
    <w:uiPriority w:val="99"/>
    <w:rPr>
      <w:rFonts w:cs="Times New Roman"/>
      <w:color w:val="CC0000"/>
    </w:rPr>
  </w:style>
  <w:style w:type="character" w:styleId="20">
    <w:name w:val="Hyperlink"/>
    <w:autoRedefine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autoRedefine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autoRedefine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5"/>
    <w:autoRedefine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6"/>
    <w:autoRedefine/>
    <w:qFormat/>
    <w:locked/>
    <w:uiPriority w:val="99"/>
  </w:style>
  <w:style w:type="character" w:customStyle="1" w:styleId="25">
    <w:name w:val="正文文本首行缩进 字符"/>
    <w:link w:val="14"/>
    <w:autoRedefine/>
    <w:qFormat/>
    <w:locked/>
    <w:uiPriority w:val="99"/>
    <w:rPr>
      <w:rFonts w:cs="Times New Roman"/>
    </w:rPr>
  </w:style>
  <w:style w:type="character" w:customStyle="1" w:styleId="26">
    <w:name w:val="批注框文本 字符"/>
    <w:link w:val="8"/>
    <w:autoRedefine/>
    <w:qFormat/>
    <w:locked/>
    <w:uiPriority w:val="99"/>
    <w:rPr>
      <w:sz w:val="18"/>
    </w:rPr>
  </w:style>
  <w:style w:type="character" w:customStyle="1" w:styleId="27">
    <w:name w:val="页脚 字符"/>
    <w:link w:val="9"/>
    <w:autoRedefine/>
    <w:qFormat/>
    <w:locked/>
    <w:uiPriority w:val="99"/>
    <w:rPr>
      <w:sz w:val="18"/>
    </w:rPr>
  </w:style>
  <w:style w:type="character" w:customStyle="1" w:styleId="28">
    <w:name w:val="页眉 字符"/>
    <w:link w:val="10"/>
    <w:autoRedefine/>
    <w:qFormat/>
    <w:locked/>
    <w:uiPriority w:val="99"/>
    <w:rPr>
      <w:sz w:val="18"/>
    </w:rPr>
  </w:style>
  <w:style w:type="character" w:customStyle="1" w:styleId="29">
    <w:name w:val="标题 字符"/>
    <w:link w:val="13"/>
    <w:autoRedefine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autoRedefine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autoRedefine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autoRedefine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autoRedefine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autoRedefine/>
    <w:qFormat/>
    <w:uiPriority w:val="99"/>
    <w:pPr>
      <w:ind w:hanging="360"/>
    </w:pPr>
  </w:style>
  <w:style w:type="paragraph" w:customStyle="1" w:styleId="35">
    <w:name w:val="列出段落11"/>
    <w:autoRedefine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autoRedefine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autoRedefine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autoRedefine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autoRedefine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autoRedefine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autoRedefine/>
    <w:qFormat/>
    <w:uiPriority w:val="99"/>
  </w:style>
  <w:style w:type="character" w:customStyle="1" w:styleId="42">
    <w:name w:val="样式1 Char"/>
    <w:autoRedefine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autoRedefine/>
    <w:qFormat/>
    <w:uiPriority w:val="99"/>
    <w:rPr>
      <w:b/>
      <w:sz w:val="44"/>
    </w:rPr>
  </w:style>
  <w:style w:type="character" w:customStyle="1" w:styleId="44">
    <w:name w:val="Body Text First Indent Char1"/>
    <w:autoRedefine/>
    <w:qFormat/>
    <w:uiPriority w:val="99"/>
    <w:rPr>
      <w:sz w:val="24"/>
    </w:rPr>
  </w:style>
  <w:style w:type="character" w:customStyle="1" w:styleId="45">
    <w:name w:val="apple-converted-space"/>
    <w:autoRedefine/>
    <w:qFormat/>
    <w:uiPriority w:val="99"/>
  </w:style>
  <w:style w:type="character" w:customStyle="1" w:styleId="46">
    <w:name w:val="论文正文1 Char"/>
    <w:autoRedefine/>
    <w:qFormat/>
    <w:uiPriority w:val="99"/>
    <w:rPr>
      <w:sz w:val="24"/>
    </w:rPr>
  </w:style>
  <w:style w:type="paragraph" w:customStyle="1" w:styleId="47">
    <w:name w:val="List Paragraph1"/>
    <w:basedOn w:val="1"/>
    <w:autoRedefine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autoRedefine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autoRedefine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autoRedefine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autoRedefine/>
    <w:qFormat/>
    <w:uiPriority w:val="0"/>
  </w:style>
  <w:style w:type="character" w:customStyle="1" w:styleId="52">
    <w:name w:val="明显强调1"/>
    <w:basedOn w:val="17"/>
    <w:autoRedefine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autoRedefine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56">
    <w:name w:val="表格"/>
    <w:basedOn w:val="1"/>
    <w:autoRedefine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paragraph" w:customStyle="1" w:styleId="57">
    <w:name w:val="TOC Heading"/>
    <w:basedOn w:val="2"/>
    <w:next w:val="1"/>
    <w:autoRedefine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E90374-E58C-4F95-944D-07E27B73D6D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2425</Words>
  <Characters>3045</Characters>
  <Lines>28</Lines>
  <Paragraphs>7</Paragraphs>
  <TotalTime>0</TotalTime>
  <ScaleCrop>false</ScaleCrop>
  <LinksUpToDate>false</LinksUpToDate>
  <CharactersWithSpaces>3174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2019-11-28T08:42:00Z</dcterms:created>
  <dc:creator>hmz</dc:creator>
  <cp:lastModifiedBy>謉媿</cp:lastModifiedBy>
  <cp:lastPrinted>2016-09-28T07:20:00Z</cp:lastPrinted>
  <dcterms:modified xsi:type="dcterms:W3CDTF">2024-09-09T10:03:44Z</dcterms:modified>
  <cp:revision>65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35E42AEDCE714B6085D7F50B2AA6E9CB_13</vt:lpwstr>
  </property>
</Properties>
</file>